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6 -->
  <w:body>
    <w:p w:rsidR="00E11560">
      <w:pPr>
        <w:jc w:val="center"/>
        <w:rPr>
          <w:rFonts w:ascii="华文隶书" w:eastAsia="华文隶书" w:hAnsi="华文隶书" w:cs="华文隶书"/>
          <w:sz w:val="36"/>
          <w:szCs w:val="36"/>
        </w:rPr>
      </w:pPr>
      <w:r>
        <w:rPr>
          <w:rFonts w:ascii="华文隶书" w:eastAsia="华文隶书" w:hAnsi="华文隶书" w:cs="华文隶书"/>
          <w:sz w:val="36"/>
          <w:szCs w:val="36"/>
        </w:rPr>
        <w:drawing>
          <wp:anchor simplePos="0" relativeHeight="251658240" behindDoc="0" locked="0" layoutInCell="1" allowOverlap="1">
            <wp:simplePos x="0" y="0"/>
            <wp:positionH relativeFrom="page">
              <wp:posOffset>10985500</wp:posOffset>
            </wp:positionH>
            <wp:positionV relativeFrom="topMargin">
              <wp:posOffset>10591800</wp:posOffset>
            </wp:positionV>
            <wp:extent cx="330200" cy="2921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8534" name=""/>
                    <pic:cNvPicPr>
                      <a:picLocks noChangeAspect="1"/>
                    </pic:cNvPicPr>
                  </pic:nvPicPr>
                  <pic:blipFill>
                    <a:blip xmlns:r="http://schemas.openxmlformats.org/officeDocument/2006/relationships" r:embed="rId4"/>
                    <a:stretch>
                      <a:fillRect/>
                    </a:stretch>
                  </pic:blipFill>
                  <pic:spPr>
                    <a:xfrm>
                      <a:off x="0" y="0"/>
                      <a:ext cx="330200" cy="292100"/>
                    </a:xfrm>
                    <a:prstGeom prst="rect">
                      <a:avLst/>
                    </a:prstGeom>
                  </pic:spPr>
                </pic:pic>
              </a:graphicData>
            </a:graphic>
          </wp:anchor>
        </w:drawing>
      </w:r>
      <w:bookmarkStart w:id="0" w:name="_GoBack"/>
      <w:r>
        <w:rPr>
          <w:rFonts w:ascii="华文隶书" w:eastAsia="华文隶书" w:hAnsi="华文隶书" w:cs="华文隶书"/>
          <w:sz w:val="36"/>
          <w:szCs w:val="36"/>
        </w:rPr>
        <w:t>2019</w:t>
      </w:r>
      <w:r>
        <w:rPr>
          <w:rFonts w:ascii="华文隶书" w:eastAsia="华文隶书" w:hAnsi="华文隶书" w:cs="华文隶书" w:hint="eastAsia"/>
          <w:sz w:val="36"/>
          <w:szCs w:val="36"/>
        </w:rPr>
        <w:t>年秋季期末教学质量监测</w:t>
      </w:r>
    </w:p>
    <w:bookmarkEnd w:id="0"/>
    <w:p w:rsidR="00E11560">
      <w:pPr>
        <w:jc w:val="center"/>
        <w:rPr>
          <w:rFonts w:ascii="华文行楷" w:eastAsia="华文行楷"/>
          <w:sz w:val="48"/>
          <w:szCs w:val="48"/>
        </w:rPr>
      </w:pPr>
      <w:r>
        <w:rPr>
          <w:rFonts w:ascii="华文行楷" w:eastAsia="华文行楷" w:hAnsi="宋体" w:hint="eastAsia"/>
          <w:sz w:val="48"/>
          <w:szCs w:val="48"/>
        </w:rPr>
        <w:t>九年级道德与法治参考答案</w:t>
      </w:r>
    </w:p>
    <w:p w:rsidR="00E11560">
      <w:pPr>
        <w:jc w:val="center"/>
      </w:pPr>
      <w:r>
        <w:t xml:space="preserve"> </w:t>
      </w:r>
    </w:p>
    <w:p w:rsidR="00E11560">
      <w:pPr>
        <w:rPr>
          <w:sz w:val="24"/>
          <w:szCs w:val="24"/>
        </w:rPr>
      </w:pPr>
      <w:r>
        <w:rPr>
          <w:rFonts w:ascii="宋体" w:hAnsi="宋体" w:hint="eastAsia"/>
          <w:b/>
          <w:sz w:val="24"/>
          <w:szCs w:val="24"/>
        </w:rPr>
        <w:t>一、单项选择题</w:t>
      </w:r>
      <w:r>
        <w:rPr>
          <w:rFonts w:ascii="宋体" w:hAnsi="宋体" w:hint="eastAsia"/>
          <w:sz w:val="24"/>
          <w:szCs w:val="24"/>
        </w:rPr>
        <w:t>（每小题</w:t>
      </w:r>
      <w:r>
        <w:rPr>
          <w:sz w:val="24"/>
          <w:szCs w:val="24"/>
        </w:rPr>
        <w:t>3</w:t>
      </w:r>
      <w:r>
        <w:rPr>
          <w:rFonts w:ascii="宋体" w:hAnsi="宋体" w:hint="eastAsia"/>
          <w:sz w:val="24"/>
          <w:szCs w:val="24"/>
        </w:rPr>
        <w:t>分，共</w:t>
      </w:r>
      <w:r>
        <w:rPr>
          <w:rFonts w:cs="Calibri"/>
          <w:sz w:val="24"/>
          <w:szCs w:val="24"/>
        </w:rPr>
        <w:t>60</w:t>
      </w:r>
      <w:r>
        <w:rPr>
          <w:rFonts w:ascii="宋体" w:hAnsi="宋体" w:hint="eastAsia"/>
          <w:sz w:val="24"/>
          <w:szCs w:val="24"/>
        </w:rPr>
        <w:t>分）</w:t>
      </w: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4"/>
        <w:gridCol w:w="774"/>
        <w:gridCol w:w="774"/>
        <w:gridCol w:w="775"/>
        <w:gridCol w:w="775"/>
        <w:gridCol w:w="775"/>
        <w:gridCol w:w="775"/>
        <w:gridCol w:w="775"/>
        <w:gridCol w:w="775"/>
        <w:gridCol w:w="775"/>
        <w:gridCol w:w="775"/>
      </w:tblGrid>
      <w:tr w:rsidTr="00DD571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774" w:type="dxa"/>
          </w:tcPr>
          <w:p w:rsidR="00E11560">
            <w:r w:rsidRPr="00DD5716">
              <w:rPr>
                <w:rFonts w:hint="eastAsia"/>
                <w:kern w:val="0"/>
                <w:sz w:val="20"/>
              </w:rPr>
              <w:t>题号</w:t>
            </w:r>
          </w:p>
        </w:tc>
        <w:tc>
          <w:tcPr>
            <w:tcW w:w="774" w:type="dxa"/>
            <w:tcBorders>
              <w:left w:val="nil"/>
            </w:tcBorders>
          </w:tcPr>
          <w:p w:rsidR="00E11560">
            <w:r w:rsidRPr="00DD5716">
              <w:rPr>
                <w:kern w:val="0"/>
                <w:sz w:val="20"/>
              </w:rPr>
              <w:t>33</w:t>
            </w:r>
          </w:p>
        </w:tc>
        <w:tc>
          <w:tcPr>
            <w:tcW w:w="774" w:type="dxa"/>
            <w:tcBorders>
              <w:left w:val="nil"/>
            </w:tcBorders>
          </w:tcPr>
          <w:p w:rsidR="00E11560">
            <w:r w:rsidRPr="00DD5716">
              <w:rPr>
                <w:kern w:val="0"/>
                <w:sz w:val="20"/>
              </w:rPr>
              <w:t>34</w:t>
            </w:r>
          </w:p>
        </w:tc>
        <w:tc>
          <w:tcPr>
            <w:tcW w:w="775" w:type="dxa"/>
            <w:tcBorders>
              <w:left w:val="nil"/>
            </w:tcBorders>
          </w:tcPr>
          <w:p w:rsidR="00E11560">
            <w:r w:rsidRPr="00DD5716">
              <w:rPr>
                <w:kern w:val="0"/>
                <w:sz w:val="20"/>
              </w:rPr>
              <w:t>35</w:t>
            </w:r>
          </w:p>
        </w:tc>
        <w:tc>
          <w:tcPr>
            <w:tcW w:w="775" w:type="dxa"/>
            <w:tcBorders>
              <w:left w:val="nil"/>
            </w:tcBorders>
          </w:tcPr>
          <w:p w:rsidR="00E11560">
            <w:r w:rsidRPr="00DD5716">
              <w:rPr>
                <w:kern w:val="0"/>
                <w:sz w:val="20"/>
              </w:rPr>
              <w:t>36</w:t>
            </w:r>
          </w:p>
        </w:tc>
        <w:tc>
          <w:tcPr>
            <w:tcW w:w="775" w:type="dxa"/>
            <w:tcBorders>
              <w:left w:val="nil"/>
            </w:tcBorders>
          </w:tcPr>
          <w:p w:rsidR="00E11560">
            <w:r w:rsidRPr="00DD5716">
              <w:rPr>
                <w:kern w:val="0"/>
                <w:sz w:val="20"/>
              </w:rPr>
              <w:t>37</w:t>
            </w:r>
          </w:p>
        </w:tc>
        <w:tc>
          <w:tcPr>
            <w:tcW w:w="775" w:type="dxa"/>
            <w:tcBorders>
              <w:left w:val="nil"/>
            </w:tcBorders>
          </w:tcPr>
          <w:p w:rsidR="00E11560">
            <w:r w:rsidRPr="00DD5716">
              <w:rPr>
                <w:kern w:val="0"/>
                <w:sz w:val="20"/>
              </w:rPr>
              <w:t>38</w:t>
            </w:r>
          </w:p>
        </w:tc>
        <w:tc>
          <w:tcPr>
            <w:tcW w:w="775" w:type="dxa"/>
            <w:tcBorders>
              <w:left w:val="nil"/>
            </w:tcBorders>
          </w:tcPr>
          <w:p w:rsidR="00E11560">
            <w:r w:rsidRPr="00DD5716">
              <w:rPr>
                <w:kern w:val="0"/>
                <w:sz w:val="20"/>
              </w:rPr>
              <w:t>39</w:t>
            </w:r>
          </w:p>
        </w:tc>
        <w:tc>
          <w:tcPr>
            <w:tcW w:w="775" w:type="dxa"/>
            <w:tcBorders>
              <w:left w:val="nil"/>
            </w:tcBorders>
          </w:tcPr>
          <w:p w:rsidR="00E11560">
            <w:r w:rsidRPr="00DD5716">
              <w:rPr>
                <w:kern w:val="0"/>
                <w:sz w:val="20"/>
              </w:rPr>
              <w:t>40</w:t>
            </w:r>
          </w:p>
        </w:tc>
        <w:tc>
          <w:tcPr>
            <w:tcW w:w="775" w:type="dxa"/>
            <w:tcBorders>
              <w:left w:val="nil"/>
            </w:tcBorders>
          </w:tcPr>
          <w:p w:rsidR="00E11560">
            <w:r w:rsidRPr="00DD5716">
              <w:rPr>
                <w:kern w:val="0"/>
                <w:sz w:val="20"/>
              </w:rPr>
              <w:t>41</w:t>
            </w:r>
          </w:p>
        </w:tc>
        <w:tc>
          <w:tcPr>
            <w:tcW w:w="775" w:type="dxa"/>
            <w:tcBorders>
              <w:left w:val="nil"/>
            </w:tcBorders>
          </w:tcPr>
          <w:p w:rsidR="00E11560">
            <w:r w:rsidRPr="00DD5716">
              <w:rPr>
                <w:kern w:val="0"/>
                <w:sz w:val="20"/>
              </w:rPr>
              <w:t>42</w:t>
            </w:r>
          </w:p>
        </w:tc>
      </w:tr>
      <w:tr w:rsidTr="00DD5716">
        <w:tblPrEx>
          <w:tblW w:w="0" w:type="auto"/>
          <w:tblLook w:val="00A0"/>
        </w:tblPrEx>
        <w:tc>
          <w:tcPr>
            <w:tcW w:w="774" w:type="dxa"/>
          </w:tcPr>
          <w:p w:rsidR="00E11560">
            <w:r w:rsidRPr="00DD5716">
              <w:rPr>
                <w:rFonts w:hint="eastAsia"/>
                <w:kern w:val="0"/>
                <w:sz w:val="20"/>
              </w:rPr>
              <w:t>答案</w:t>
            </w:r>
          </w:p>
        </w:tc>
        <w:tc>
          <w:tcPr>
            <w:tcW w:w="774" w:type="dxa"/>
            <w:tcBorders>
              <w:left w:val="nil"/>
            </w:tcBorders>
          </w:tcPr>
          <w:p w:rsidR="00E11560">
            <w:r w:rsidRPr="00DD5716">
              <w:rPr>
                <w:kern w:val="0"/>
                <w:sz w:val="20"/>
              </w:rPr>
              <w:t>C</w:t>
            </w:r>
          </w:p>
        </w:tc>
        <w:tc>
          <w:tcPr>
            <w:tcW w:w="774" w:type="dxa"/>
            <w:tcBorders>
              <w:left w:val="nil"/>
            </w:tcBorders>
          </w:tcPr>
          <w:p w:rsidR="00E11560">
            <w:r w:rsidRPr="00DD5716">
              <w:rPr>
                <w:kern w:val="0"/>
                <w:sz w:val="20"/>
              </w:rPr>
              <w:t>A</w:t>
            </w:r>
          </w:p>
        </w:tc>
        <w:tc>
          <w:tcPr>
            <w:tcW w:w="775" w:type="dxa"/>
            <w:tcBorders>
              <w:left w:val="nil"/>
            </w:tcBorders>
          </w:tcPr>
          <w:p w:rsidR="00E11560">
            <w:r w:rsidRPr="00DD5716">
              <w:rPr>
                <w:kern w:val="0"/>
                <w:sz w:val="20"/>
              </w:rPr>
              <w:t>A</w:t>
            </w:r>
          </w:p>
        </w:tc>
        <w:tc>
          <w:tcPr>
            <w:tcW w:w="775" w:type="dxa"/>
            <w:tcBorders>
              <w:left w:val="nil"/>
            </w:tcBorders>
          </w:tcPr>
          <w:p w:rsidR="00E11560">
            <w:r w:rsidRPr="00DD5716">
              <w:rPr>
                <w:kern w:val="0"/>
                <w:sz w:val="20"/>
              </w:rPr>
              <w:t>C</w:t>
            </w:r>
          </w:p>
        </w:tc>
        <w:tc>
          <w:tcPr>
            <w:tcW w:w="775" w:type="dxa"/>
            <w:tcBorders>
              <w:left w:val="nil"/>
            </w:tcBorders>
          </w:tcPr>
          <w:p w:rsidR="00E11560">
            <w:r w:rsidRPr="00DD5716">
              <w:rPr>
                <w:kern w:val="0"/>
                <w:sz w:val="20"/>
              </w:rPr>
              <w:t>B</w:t>
            </w:r>
          </w:p>
        </w:tc>
        <w:tc>
          <w:tcPr>
            <w:tcW w:w="775" w:type="dxa"/>
            <w:tcBorders>
              <w:left w:val="nil"/>
            </w:tcBorders>
          </w:tcPr>
          <w:p w:rsidR="00E11560">
            <w:r w:rsidRPr="00DD5716">
              <w:rPr>
                <w:kern w:val="0"/>
                <w:sz w:val="20"/>
              </w:rPr>
              <w:t>A</w:t>
            </w:r>
          </w:p>
        </w:tc>
        <w:tc>
          <w:tcPr>
            <w:tcW w:w="775" w:type="dxa"/>
            <w:tcBorders>
              <w:left w:val="nil"/>
            </w:tcBorders>
          </w:tcPr>
          <w:p w:rsidR="00E11560">
            <w:r w:rsidRPr="00DD5716">
              <w:rPr>
                <w:kern w:val="0"/>
                <w:sz w:val="20"/>
              </w:rPr>
              <w:t>A</w:t>
            </w:r>
          </w:p>
        </w:tc>
        <w:tc>
          <w:tcPr>
            <w:tcW w:w="775" w:type="dxa"/>
            <w:tcBorders>
              <w:left w:val="nil"/>
            </w:tcBorders>
          </w:tcPr>
          <w:p w:rsidR="00E11560">
            <w:r w:rsidRPr="00DD5716">
              <w:rPr>
                <w:kern w:val="0"/>
                <w:sz w:val="20"/>
              </w:rPr>
              <w:t>C</w:t>
            </w:r>
          </w:p>
        </w:tc>
        <w:tc>
          <w:tcPr>
            <w:tcW w:w="775" w:type="dxa"/>
            <w:tcBorders>
              <w:left w:val="nil"/>
            </w:tcBorders>
          </w:tcPr>
          <w:p w:rsidR="00E11560">
            <w:r w:rsidRPr="00DD5716">
              <w:rPr>
                <w:kern w:val="0"/>
                <w:sz w:val="20"/>
              </w:rPr>
              <w:t>B</w:t>
            </w:r>
          </w:p>
        </w:tc>
        <w:tc>
          <w:tcPr>
            <w:tcW w:w="775" w:type="dxa"/>
            <w:tcBorders>
              <w:left w:val="nil"/>
            </w:tcBorders>
          </w:tcPr>
          <w:p w:rsidR="00E11560">
            <w:r w:rsidRPr="00DD5716">
              <w:rPr>
                <w:kern w:val="0"/>
                <w:sz w:val="20"/>
              </w:rPr>
              <w:t>D</w:t>
            </w:r>
          </w:p>
        </w:tc>
      </w:tr>
      <w:tr w:rsidTr="00DD5716">
        <w:tblPrEx>
          <w:tblW w:w="0" w:type="auto"/>
          <w:tblLook w:val="00A0"/>
        </w:tblPrEx>
        <w:tc>
          <w:tcPr>
            <w:tcW w:w="774" w:type="dxa"/>
          </w:tcPr>
          <w:p w:rsidR="00E11560">
            <w:r w:rsidRPr="00DD5716">
              <w:rPr>
                <w:rFonts w:hint="eastAsia"/>
                <w:kern w:val="0"/>
                <w:sz w:val="20"/>
              </w:rPr>
              <w:t>题号</w:t>
            </w:r>
          </w:p>
        </w:tc>
        <w:tc>
          <w:tcPr>
            <w:tcW w:w="774" w:type="dxa"/>
            <w:tcBorders>
              <w:left w:val="nil"/>
            </w:tcBorders>
          </w:tcPr>
          <w:p w:rsidR="00E11560">
            <w:r w:rsidRPr="00DD5716">
              <w:rPr>
                <w:kern w:val="0"/>
                <w:sz w:val="20"/>
              </w:rPr>
              <w:t>43</w:t>
            </w:r>
          </w:p>
        </w:tc>
        <w:tc>
          <w:tcPr>
            <w:tcW w:w="774" w:type="dxa"/>
            <w:tcBorders>
              <w:left w:val="nil"/>
            </w:tcBorders>
          </w:tcPr>
          <w:p w:rsidR="00E11560">
            <w:r w:rsidRPr="00DD5716">
              <w:rPr>
                <w:kern w:val="0"/>
                <w:sz w:val="20"/>
              </w:rPr>
              <w:t>44</w:t>
            </w:r>
          </w:p>
        </w:tc>
        <w:tc>
          <w:tcPr>
            <w:tcW w:w="775" w:type="dxa"/>
            <w:tcBorders>
              <w:left w:val="nil"/>
            </w:tcBorders>
          </w:tcPr>
          <w:p w:rsidR="00E11560">
            <w:r w:rsidRPr="00DD5716">
              <w:rPr>
                <w:kern w:val="0"/>
                <w:sz w:val="20"/>
              </w:rPr>
              <w:t>45</w:t>
            </w:r>
          </w:p>
        </w:tc>
        <w:tc>
          <w:tcPr>
            <w:tcW w:w="775" w:type="dxa"/>
            <w:tcBorders>
              <w:left w:val="nil"/>
            </w:tcBorders>
          </w:tcPr>
          <w:p w:rsidR="00E11560">
            <w:r w:rsidRPr="00DD5716">
              <w:rPr>
                <w:kern w:val="0"/>
                <w:sz w:val="20"/>
              </w:rPr>
              <w:t>46</w:t>
            </w:r>
          </w:p>
        </w:tc>
        <w:tc>
          <w:tcPr>
            <w:tcW w:w="775" w:type="dxa"/>
            <w:tcBorders>
              <w:left w:val="nil"/>
            </w:tcBorders>
          </w:tcPr>
          <w:p w:rsidR="00E11560">
            <w:r w:rsidRPr="00DD5716">
              <w:rPr>
                <w:kern w:val="0"/>
                <w:sz w:val="20"/>
              </w:rPr>
              <w:t>47</w:t>
            </w:r>
          </w:p>
        </w:tc>
        <w:tc>
          <w:tcPr>
            <w:tcW w:w="775" w:type="dxa"/>
            <w:tcBorders>
              <w:left w:val="nil"/>
            </w:tcBorders>
          </w:tcPr>
          <w:p w:rsidR="00E11560">
            <w:r w:rsidRPr="00DD5716">
              <w:rPr>
                <w:kern w:val="0"/>
                <w:sz w:val="20"/>
              </w:rPr>
              <w:t>48</w:t>
            </w:r>
          </w:p>
        </w:tc>
        <w:tc>
          <w:tcPr>
            <w:tcW w:w="775" w:type="dxa"/>
            <w:tcBorders>
              <w:left w:val="nil"/>
            </w:tcBorders>
          </w:tcPr>
          <w:p w:rsidR="00E11560">
            <w:r w:rsidRPr="00DD5716">
              <w:rPr>
                <w:kern w:val="0"/>
                <w:sz w:val="20"/>
              </w:rPr>
              <w:t>49</w:t>
            </w:r>
          </w:p>
        </w:tc>
        <w:tc>
          <w:tcPr>
            <w:tcW w:w="775" w:type="dxa"/>
            <w:tcBorders>
              <w:left w:val="nil"/>
            </w:tcBorders>
          </w:tcPr>
          <w:p w:rsidR="00E11560">
            <w:r w:rsidRPr="00DD5716">
              <w:rPr>
                <w:kern w:val="0"/>
                <w:sz w:val="20"/>
              </w:rPr>
              <w:t>50</w:t>
            </w:r>
          </w:p>
        </w:tc>
        <w:tc>
          <w:tcPr>
            <w:tcW w:w="775" w:type="dxa"/>
            <w:tcBorders>
              <w:left w:val="nil"/>
            </w:tcBorders>
          </w:tcPr>
          <w:p w:rsidR="00E11560">
            <w:r w:rsidRPr="00DD5716">
              <w:rPr>
                <w:kern w:val="0"/>
                <w:sz w:val="20"/>
              </w:rPr>
              <w:t>51</w:t>
            </w:r>
          </w:p>
        </w:tc>
        <w:tc>
          <w:tcPr>
            <w:tcW w:w="775" w:type="dxa"/>
            <w:tcBorders>
              <w:left w:val="nil"/>
            </w:tcBorders>
          </w:tcPr>
          <w:p w:rsidR="00E11560">
            <w:r w:rsidRPr="00DD5716">
              <w:rPr>
                <w:kern w:val="0"/>
                <w:sz w:val="20"/>
              </w:rPr>
              <w:t>52</w:t>
            </w:r>
          </w:p>
        </w:tc>
      </w:tr>
      <w:tr w:rsidTr="00DD5716">
        <w:tblPrEx>
          <w:tblW w:w="0" w:type="auto"/>
          <w:tblLook w:val="00A0"/>
        </w:tblPrEx>
        <w:tc>
          <w:tcPr>
            <w:tcW w:w="774" w:type="dxa"/>
          </w:tcPr>
          <w:p w:rsidR="00E11560">
            <w:r w:rsidRPr="00DD5716">
              <w:rPr>
                <w:rFonts w:hint="eastAsia"/>
                <w:kern w:val="0"/>
                <w:sz w:val="20"/>
              </w:rPr>
              <w:t>答案</w:t>
            </w:r>
          </w:p>
        </w:tc>
        <w:tc>
          <w:tcPr>
            <w:tcW w:w="774" w:type="dxa"/>
            <w:tcBorders>
              <w:left w:val="nil"/>
            </w:tcBorders>
          </w:tcPr>
          <w:p w:rsidR="00E11560">
            <w:r w:rsidRPr="00DD5716">
              <w:rPr>
                <w:kern w:val="0"/>
                <w:sz w:val="20"/>
              </w:rPr>
              <w:t>A</w:t>
            </w:r>
          </w:p>
        </w:tc>
        <w:tc>
          <w:tcPr>
            <w:tcW w:w="774" w:type="dxa"/>
            <w:tcBorders>
              <w:left w:val="nil"/>
            </w:tcBorders>
          </w:tcPr>
          <w:p w:rsidR="00E11560">
            <w:r w:rsidRPr="00DD5716">
              <w:rPr>
                <w:kern w:val="0"/>
                <w:sz w:val="20"/>
              </w:rPr>
              <w:t>C</w:t>
            </w:r>
          </w:p>
        </w:tc>
        <w:tc>
          <w:tcPr>
            <w:tcW w:w="775" w:type="dxa"/>
            <w:tcBorders>
              <w:left w:val="nil"/>
            </w:tcBorders>
          </w:tcPr>
          <w:p w:rsidR="00E11560">
            <w:r w:rsidRPr="00DD5716">
              <w:rPr>
                <w:kern w:val="0"/>
                <w:sz w:val="20"/>
              </w:rPr>
              <w:t>A</w:t>
            </w:r>
          </w:p>
        </w:tc>
        <w:tc>
          <w:tcPr>
            <w:tcW w:w="775" w:type="dxa"/>
            <w:tcBorders>
              <w:left w:val="nil"/>
            </w:tcBorders>
          </w:tcPr>
          <w:p w:rsidR="00E11560">
            <w:r w:rsidRPr="00DD5716">
              <w:rPr>
                <w:kern w:val="0"/>
                <w:sz w:val="20"/>
              </w:rPr>
              <w:t>D</w:t>
            </w:r>
          </w:p>
        </w:tc>
        <w:tc>
          <w:tcPr>
            <w:tcW w:w="775" w:type="dxa"/>
            <w:tcBorders>
              <w:left w:val="nil"/>
            </w:tcBorders>
          </w:tcPr>
          <w:p w:rsidR="00E11560">
            <w:r w:rsidRPr="00DD5716">
              <w:rPr>
                <w:kern w:val="0"/>
                <w:sz w:val="20"/>
              </w:rPr>
              <w:t>B</w:t>
            </w:r>
          </w:p>
        </w:tc>
        <w:tc>
          <w:tcPr>
            <w:tcW w:w="775" w:type="dxa"/>
            <w:tcBorders>
              <w:left w:val="nil"/>
            </w:tcBorders>
          </w:tcPr>
          <w:p w:rsidR="00E11560">
            <w:r w:rsidRPr="00DD5716">
              <w:rPr>
                <w:kern w:val="0"/>
                <w:sz w:val="20"/>
              </w:rPr>
              <w:t>D</w:t>
            </w:r>
          </w:p>
        </w:tc>
        <w:tc>
          <w:tcPr>
            <w:tcW w:w="775" w:type="dxa"/>
            <w:tcBorders>
              <w:left w:val="nil"/>
            </w:tcBorders>
          </w:tcPr>
          <w:p w:rsidR="00E11560">
            <w:r w:rsidRPr="00DD5716">
              <w:rPr>
                <w:kern w:val="0"/>
                <w:sz w:val="20"/>
              </w:rPr>
              <w:t>D</w:t>
            </w:r>
          </w:p>
        </w:tc>
        <w:tc>
          <w:tcPr>
            <w:tcW w:w="775" w:type="dxa"/>
            <w:tcBorders>
              <w:left w:val="nil"/>
            </w:tcBorders>
          </w:tcPr>
          <w:p w:rsidR="00E11560">
            <w:r w:rsidRPr="00DD5716">
              <w:rPr>
                <w:kern w:val="0"/>
                <w:sz w:val="20"/>
              </w:rPr>
              <w:t>D</w:t>
            </w:r>
          </w:p>
        </w:tc>
        <w:tc>
          <w:tcPr>
            <w:tcW w:w="775" w:type="dxa"/>
            <w:tcBorders>
              <w:left w:val="nil"/>
            </w:tcBorders>
          </w:tcPr>
          <w:p w:rsidR="00E11560">
            <w:r w:rsidRPr="00DD5716">
              <w:rPr>
                <w:kern w:val="0"/>
                <w:sz w:val="20"/>
              </w:rPr>
              <w:t>B</w:t>
            </w:r>
          </w:p>
        </w:tc>
        <w:tc>
          <w:tcPr>
            <w:tcW w:w="775" w:type="dxa"/>
            <w:tcBorders>
              <w:left w:val="nil"/>
            </w:tcBorders>
          </w:tcPr>
          <w:p w:rsidR="00E11560">
            <w:r w:rsidRPr="00DD5716">
              <w:rPr>
                <w:kern w:val="0"/>
                <w:sz w:val="20"/>
              </w:rPr>
              <w:t>C</w:t>
            </w:r>
          </w:p>
        </w:tc>
      </w:tr>
    </w:tbl>
    <w:p w:rsidR="00E11560">
      <w:r>
        <w:rPr>
          <w:rFonts w:ascii="宋体" w:hAnsi="宋体" w:hint="eastAsia"/>
          <w:b/>
          <w:sz w:val="24"/>
          <w:szCs w:val="24"/>
        </w:rPr>
        <w:t>二、材料说明题</w:t>
      </w:r>
      <w:r>
        <w:rPr>
          <w:rFonts w:ascii="宋体" w:hAnsi="宋体" w:hint="eastAsia"/>
          <w:sz w:val="24"/>
          <w:szCs w:val="24"/>
        </w:rPr>
        <w:t>（共</w:t>
      </w:r>
      <w:r>
        <w:rPr>
          <w:sz w:val="24"/>
          <w:szCs w:val="24"/>
        </w:rPr>
        <w:t>22</w:t>
      </w:r>
      <w:r>
        <w:rPr>
          <w:rFonts w:ascii="宋体" w:hAnsi="宋体" w:hint="eastAsia"/>
          <w:sz w:val="24"/>
          <w:szCs w:val="24"/>
        </w:rPr>
        <w:t>分</w:t>
      </w:r>
      <w:r>
        <w:rPr>
          <w:rFonts w:ascii="宋体" w:hAnsi="宋体" w:hint="eastAsia"/>
        </w:rPr>
        <w:t>）</w:t>
      </w:r>
    </w:p>
    <w:p w:rsidR="00E11560">
      <w:r>
        <w:t>53</w:t>
      </w:r>
      <w:r>
        <w:rPr>
          <w:rFonts w:ascii="宋体" w:hAnsi="宋体" w:hint="eastAsia"/>
        </w:rPr>
        <w:t>．（</w:t>
      </w:r>
      <w:r>
        <w:rPr>
          <w:rFonts w:cs="Calibri"/>
        </w:rPr>
        <w:t>1</w:t>
      </w:r>
      <w:r>
        <w:rPr>
          <w:rFonts w:ascii="宋体" w:hAnsi="宋体" w:hint="eastAsia"/>
        </w:rPr>
        <w:t>）国家：坚持依法治国；坚持以德治国；把法治和德治结合起来。（</w:t>
      </w:r>
      <w:r>
        <w:rPr>
          <w:rFonts w:cs="Calibri"/>
        </w:rPr>
        <w:t>2</w:t>
      </w:r>
      <w:r>
        <w:rPr>
          <w:rFonts w:ascii="宋体" w:hAnsi="宋体" w:hint="eastAsia"/>
        </w:rPr>
        <w:t>分）</w:t>
      </w:r>
    </w:p>
    <w:p w:rsidR="00E11560" w:rsidP="008F655C">
      <w:pPr>
        <w:ind w:firstLine="840" w:firstLineChars="400"/>
      </w:pPr>
      <w:r>
        <w:rPr>
          <w:rFonts w:ascii="宋体" w:hAnsi="宋体" w:hint="eastAsia"/>
        </w:rPr>
        <w:t>公民个人：提高道德素质；树立法治观念；等。（</w:t>
      </w:r>
      <w:r>
        <w:t>2</w:t>
      </w:r>
      <w:r>
        <w:rPr>
          <w:rFonts w:ascii="宋体" w:hAnsi="宋体" w:hint="eastAsia"/>
        </w:rPr>
        <w:t>分）</w:t>
      </w:r>
    </w:p>
    <w:p w:rsidR="00E11560">
      <w:r>
        <w:rPr>
          <w:rFonts w:ascii="宋体" w:hAnsi="宋体" w:hint="eastAsia"/>
        </w:rPr>
        <w:t>（</w:t>
      </w:r>
      <w:r>
        <w:t>2</w:t>
      </w:r>
      <w:r>
        <w:rPr>
          <w:rFonts w:ascii="宋体" w:hAnsi="宋体" w:hint="eastAsia"/>
        </w:rPr>
        <w:t>）①法治是发展市场经济、实现强国富民的基本保障</w:t>
      </w:r>
      <w:r>
        <w:rPr>
          <w:rFonts w:cs="Calibri"/>
        </w:rPr>
        <w:t>,</w:t>
      </w:r>
      <w:r>
        <w:rPr>
          <w:rFonts w:ascii="宋体" w:hAnsi="宋体" w:hint="eastAsia"/>
        </w:rPr>
        <w:t>是解决社会矛盾、维护社会稳定、实现社会正义的有效方式；②走法治道路是实现中华民族伟大复兴的必然选择；③法治能够为人们提供良好的生活秩序，让人们能够建立起一个基本、稳定、持续的生活预期；④法治保障人们在社会各个领域依法享有广泛的权利和自由</w:t>
      </w:r>
      <w:r>
        <w:rPr>
          <w:rFonts w:cs="Calibri"/>
        </w:rPr>
        <w:t>,</w:t>
      </w:r>
      <w:r>
        <w:rPr>
          <w:rFonts w:ascii="宋体" w:hAnsi="宋体" w:hint="eastAsia"/>
        </w:rPr>
        <w:t>使人们安全、有尊严地生活；⑤社会因法治而进步</w:t>
      </w:r>
      <w:r>
        <w:rPr>
          <w:rFonts w:cs="Calibri"/>
        </w:rPr>
        <w:t>,</w:t>
      </w:r>
      <w:r>
        <w:rPr>
          <w:rFonts w:ascii="宋体" w:hAnsi="宋体" w:hint="eastAsia"/>
        </w:rPr>
        <w:t>法治是人类进入现代文明的主要标志。（</w:t>
      </w:r>
      <w:r>
        <w:rPr>
          <w:rFonts w:cs="Calibri"/>
        </w:rPr>
        <w:t>6</w:t>
      </w:r>
      <w:r>
        <w:rPr>
          <w:rFonts w:ascii="宋体" w:hAnsi="宋体" w:hint="eastAsia"/>
        </w:rPr>
        <w:t>分）</w:t>
      </w:r>
    </w:p>
    <w:p w:rsidR="00E11560">
      <w:r>
        <w:t>54.</w:t>
      </w:r>
      <w:r>
        <w:rPr>
          <w:rFonts w:ascii="宋体" w:hAnsi="宋体" w:hint="eastAsia"/>
        </w:rPr>
        <w:t>（</w:t>
      </w:r>
      <w:r>
        <w:rPr>
          <w:rFonts w:cs="Calibri"/>
        </w:rPr>
        <w:t>1</w:t>
      </w:r>
      <w:r>
        <w:rPr>
          <w:rFonts w:ascii="宋体" w:hAnsi="宋体" w:hint="eastAsia"/>
        </w:rPr>
        <w:t>）①我国开辟了中国特色社会主义道路</w:t>
      </w:r>
      <w:r>
        <w:rPr>
          <w:rFonts w:cs="Calibri"/>
        </w:rPr>
        <w:t>,</w:t>
      </w:r>
      <w:r>
        <w:rPr>
          <w:rFonts w:ascii="宋体" w:hAnsi="宋体" w:hint="eastAsia"/>
        </w:rPr>
        <w:t>形成了中国特色社会主义理论体系，确立了中国特色社会主义制度，发展了中国特色社会主义文化；等等。②改革开放以来</w:t>
      </w:r>
      <w:r>
        <w:rPr>
          <w:rFonts w:cs="Calibri"/>
        </w:rPr>
        <w:t>,</w:t>
      </w:r>
      <w:r>
        <w:rPr>
          <w:rFonts w:ascii="宋体" w:hAnsi="宋体" w:hint="eastAsia"/>
        </w:rPr>
        <w:t>我国现代化建设取得了巨大成就</w:t>
      </w:r>
      <w:r>
        <w:rPr>
          <w:rFonts w:cs="Calibri"/>
        </w:rPr>
        <w:t>,</w:t>
      </w:r>
      <w:r>
        <w:rPr>
          <w:rFonts w:ascii="宋体" w:hAnsi="宋体" w:hint="eastAsia"/>
        </w:rPr>
        <w:t>为实现中国梦奠定了坚实的物质基础；③全国人民的齐心协力、艰苦奋斗；④坚持中国共产党的领导，是社会主义现代化建设顺利进行的根本保证；⑤中华民族有以爱国主义为核心的伟大民族精神；（</w:t>
      </w:r>
      <w:r>
        <w:rPr>
          <w:rFonts w:cs="Calibri"/>
        </w:rPr>
        <w:t>6</w:t>
      </w:r>
      <w:r>
        <w:rPr>
          <w:rFonts w:ascii="宋体" w:hAnsi="宋体" w:hint="eastAsia"/>
        </w:rPr>
        <w:t>分）</w:t>
      </w:r>
    </w:p>
    <w:p w:rsidR="00E11560">
      <w:r>
        <w:rPr>
          <w:rFonts w:ascii="宋体" w:hAnsi="宋体" w:hint="eastAsia"/>
        </w:rPr>
        <w:t>（</w:t>
      </w:r>
      <w:r>
        <w:t>2</w:t>
      </w:r>
      <w:r>
        <w:rPr>
          <w:rFonts w:ascii="宋体" w:hAnsi="宋体" w:hint="eastAsia"/>
        </w:rPr>
        <w:t>）①树立崇高的社会理想</w:t>
      </w:r>
      <w:r>
        <w:rPr>
          <w:rFonts w:cs="Calibri"/>
        </w:rPr>
        <w:t>,</w:t>
      </w:r>
      <w:r>
        <w:rPr>
          <w:rFonts w:ascii="宋体" w:hAnsi="宋体" w:hint="eastAsia"/>
        </w:rPr>
        <w:t>努力学习科学文化知识；②树立公民意识、主人翁意识和社会公平意识；③积极参与社会公益活动</w:t>
      </w:r>
      <w:r>
        <w:rPr>
          <w:rFonts w:cs="Calibri"/>
        </w:rPr>
        <w:t>,</w:t>
      </w:r>
      <w:r>
        <w:rPr>
          <w:rFonts w:ascii="宋体" w:hAnsi="宋体" w:hint="eastAsia"/>
        </w:rPr>
        <w:t>关爱他人</w:t>
      </w:r>
      <w:r>
        <w:rPr>
          <w:rFonts w:cs="Calibri"/>
        </w:rPr>
        <w:t>,</w:t>
      </w:r>
      <w:r>
        <w:rPr>
          <w:rFonts w:ascii="宋体" w:hAnsi="宋体" w:hint="eastAsia"/>
        </w:rPr>
        <w:t>服务社会</w:t>
      </w:r>
      <w:r>
        <w:rPr>
          <w:rFonts w:cs="Calibri"/>
        </w:rPr>
        <w:t>,</w:t>
      </w:r>
      <w:r>
        <w:rPr>
          <w:rFonts w:ascii="宋体" w:hAnsi="宋体" w:hint="eastAsia"/>
        </w:rPr>
        <w:t>积极承担社会责任；④积极宣传国家保障和改善民生惠民政策</w:t>
      </w:r>
      <w:r>
        <w:rPr>
          <w:rFonts w:cs="Calibri"/>
        </w:rPr>
        <w:t>,</w:t>
      </w:r>
      <w:r>
        <w:rPr>
          <w:rFonts w:ascii="宋体" w:hAnsi="宋体" w:hint="eastAsia"/>
        </w:rPr>
        <w:t>并为政府改善民生问题建言献策；⑤发扬艰苦奋斗精神和培养创新精神</w:t>
      </w:r>
      <w:r>
        <w:rPr>
          <w:rFonts w:cs="Calibri"/>
        </w:rPr>
        <w:t>,</w:t>
      </w:r>
      <w:r>
        <w:rPr>
          <w:rFonts w:ascii="宋体" w:hAnsi="宋体" w:hint="eastAsia"/>
        </w:rPr>
        <w:t>弘扬民族精神。（</w:t>
      </w:r>
      <w:r>
        <w:rPr>
          <w:rFonts w:cs="Calibri"/>
        </w:rPr>
        <w:t>6</w:t>
      </w:r>
      <w:r>
        <w:rPr>
          <w:rFonts w:ascii="宋体" w:hAnsi="宋体" w:hint="eastAsia"/>
        </w:rPr>
        <w:drawing>
          <wp:inline>
            <wp:extent cx="254000" cy="254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792512" name=""/>
                    <pic:cNvPicPr>
                      <a:picLocks noChangeAspect="1"/>
                    </pic:cNvPicPr>
                  </pic:nvPicPr>
                  <pic:blipFill>
                    <a:blip xmlns:r="http://schemas.openxmlformats.org/officeDocument/2006/relationships" r:embed="rId5"/>
                    <a:stretch>
                      <a:fillRect/>
                    </a:stretch>
                  </pic:blipFill>
                  <pic:spPr>
                    <a:xfrm>
                      <a:off x="0" y="0"/>
                      <a:ext cx="254000" cy="254000"/>
                    </a:xfrm>
                    <a:prstGeom prst="rect">
                      <a:avLst/>
                    </a:prstGeom>
                  </pic:spPr>
                </pic:pic>
              </a:graphicData>
            </a:graphic>
          </wp:inline>
        </w:drawing>
      </w:r>
      <w:r>
        <w:rPr>
          <w:rFonts w:ascii="宋体" w:hAnsi="宋体" w:hint="eastAsia"/>
        </w:rPr>
        <w:t>分）</w:t>
      </w:r>
    </w:p>
    <w:p w:rsidR="00E11560">
      <w:r>
        <w:rPr>
          <w:rFonts w:ascii="宋体" w:hAnsi="宋体" w:hint="eastAsia"/>
          <w:b/>
          <w:sz w:val="24"/>
          <w:szCs w:val="24"/>
        </w:rPr>
        <w:t>三、探究说明题</w:t>
      </w:r>
      <w:r>
        <w:rPr>
          <w:rFonts w:ascii="宋体" w:hAnsi="宋体" w:hint="eastAsia"/>
          <w:sz w:val="24"/>
          <w:szCs w:val="24"/>
        </w:rPr>
        <w:t>（</w:t>
      </w:r>
      <w:r>
        <w:rPr>
          <w:sz w:val="24"/>
          <w:szCs w:val="24"/>
        </w:rPr>
        <w:t>18</w:t>
      </w:r>
      <w:r>
        <w:rPr>
          <w:rFonts w:ascii="宋体" w:hAnsi="宋体" w:hint="eastAsia"/>
          <w:sz w:val="24"/>
          <w:szCs w:val="24"/>
        </w:rPr>
        <w:t>分</w:t>
      </w:r>
      <w:r>
        <w:rPr>
          <w:rFonts w:ascii="宋体" w:hAnsi="宋体" w:hint="eastAsia"/>
        </w:rPr>
        <w:t>）</w:t>
      </w:r>
    </w:p>
    <w:p w:rsidR="00E11560">
      <w:r>
        <w:t>55.</w:t>
      </w:r>
      <w:r>
        <w:rPr>
          <w:rFonts w:ascii="宋体" w:hAnsi="宋体" w:hint="eastAsia"/>
        </w:rPr>
        <w:t>（</w:t>
      </w:r>
      <w:r>
        <w:rPr>
          <w:rFonts w:cs="Calibri"/>
        </w:rPr>
        <w:t>1</w:t>
      </w:r>
      <w:r>
        <w:rPr>
          <w:rFonts w:ascii="宋体" w:hAnsi="宋体" w:hint="eastAsia"/>
        </w:rPr>
        <w:t>）例：住上更加宽敞明亮的房子；购买了家庭小轿车等；（</w:t>
      </w:r>
      <w:r>
        <w:rPr>
          <w:rFonts w:cs="Calibri"/>
        </w:rPr>
        <w:t>2</w:t>
      </w:r>
      <w:r>
        <w:rPr>
          <w:rFonts w:ascii="宋体" w:hAnsi="宋体" w:hint="eastAsia"/>
        </w:rPr>
        <w:t>分）</w:t>
      </w:r>
    </w:p>
    <w:p w:rsidR="00E11560" w:rsidP="008F655C">
      <w:pPr>
        <w:ind w:firstLine="840" w:firstLineChars="400"/>
      </w:pPr>
      <w:r>
        <w:rPr>
          <w:rFonts w:ascii="宋体" w:hAnsi="宋体" w:hint="eastAsia"/>
        </w:rPr>
        <w:t>改革带来了巨大的社会财富。（</w:t>
      </w:r>
      <w:r>
        <w:t>2</w:t>
      </w:r>
      <w:r>
        <w:rPr>
          <w:rFonts w:ascii="宋体" w:hAnsi="宋体" w:hint="eastAsia"/>
        </w:rPr>
        <w:t>分）</w:t>
      </w:r>
    </w:p>
    <w:p w:rsidR="00E11560">
      <w:r>
        <w:rPr>
          <w:rFonts w:ascii="宋体" w:hAnsi="宋体" w:hint="eastAsia"/>
        </w:rPr>
        <w:t>（</w:t>
      </w:r>
      <w:r>
        <w:t>2</w:t>
      </w:r>
      <w:r>
        <w:rPr>
          <w:rFonts w:ascii="宋体" w:hAnsi="宋体" w:hint="eastAsia"/>
        </w:rPr>
        <w:t>）选举权和被选举权。（</w:t>
      </w:r>
      <w:r>
        <w:rPr>
          <w:rFonts w:cs="Calibri"/>
        </w:rPr>
        <w:t>2</w:t>
      </w:r>
      <w:r>
        <w:rPr>
          <w:rFonts w:ascii="宋体" w:hAnsi="宋体" w:hint="eastAsia"/>
        </w:rPr>
        <w:t>分）</w:t>
      </w:r>
    </w:p>
    <w:p w:rsidR="00E11560">
      <w:r>
        <w:rPr>
          <w:rFonts w:ascii="宋体" w:hAnsi="宋体" w:hint="eastAsia"/>
        </w:rPr>
        <w:t>（</w:t>
      </w:r>
      <w:r>
        <w:t>3</w:t>
      </w:r>
      <w:r>
        <w:rPr>
          <w:rFonts w:ascii="宋体" w:hAnsi="宋体" w:hint="eastAsia"/>
        </w:rPr>
        <w:t>）①原因：我国坚持基层群众自治制度。材料</w:t>
      </w:r>
      <w:r>
        <w:rPr>
          <w:rFonts w:cs="Calibri"/>
        </w:rPr>
        <w:t>:</w:t>
      </w:r>
      <w:r>
        <w:rPr>
          <w:rFonts w:ascii="宋体" w:hAnsi="宋体" w:hint="eastAsia"/>
        </w:rPr>
        <w:t>在广大农村，实行村委会“海选”，村村都能通过投票决定自己的带头人。②原因：我国坚持依法治国的基本方略。材料：中国特色社会主义法律体系已经建立。③原因：我国坚持中国共产党领导的多党合作和政治协商制度。材料：中国共产党与各民主党派肝胆相照、荣辱与共</w:t>
      </w:r>
      <w:r>
        <w:rPr>
          <w:rFonts w:cs="Calibri"/>
        </w:rPr>
        <w:t>,</w:t>
      </w:r>
      <w:r>
        <w:rPr>
          <w:rFonts w:ascii="宋体" w:hAnsi="宋体" w:hint="eastAsia"/>
        </w:rPr>
        <w:t>共同建设国家。（</w:t>
      </w:r>
      <w:r>
        <w:rPr>
          <w:rFonts w:cs="Calibri"/>
        </w:rPr>
        <w:t>6</w:t>
      </w:r>
      <w:r>
        <w:rPr>
          <w:rFonts w:ascii="宋体" w:hAnsi="宋体" w:hint="eastAsia"/>
        </w:rPr>
        <w:t>分）</w:t>
      </w:r>
    </w:p>
    <w:p w:rsidR="00E11560">
      <w:r>
        <w:rPr>
          <w:rFonts w:ascii="宋体" w:hAnsi="宋体" w:hint="eastAsia"/>
        </w:rPr>
        <w:t>（</w:t>
      </w:r>
      <w:r>
        <w:t>4</w:t>
      </w:r>
      <w:r>
        <w:rPr>
          <w:rFonts w:ascii="宋体" w:hAnsi="宋体" w:hint="eastAsia"/>
        </w:rPr>
        <w:t>）我国社会主要矛盾已经转化为人民日益增长的美好生活需要和不平衡不充分的发展之间的矛盾；努力学习科学文化知识，掌握建设国家、服务人民的过硬本领，培养自己的创新精神和实践能力，为把我国建设成为富强民主文明和谐美丽的社会主义现代化强国而努力奋斗。（</w:t>
      </w:r>
      <w:r>
        <w:rPr>
          <w:rFonts w:cs="Calibri"/>
        </w:rPr>
        <w:t>6</w:t>
      </w:r>
      <w:r>
        <w:rPr>
          <w:rFonts w:ascii="宋体" w:hAnsi="宋体" w:hint="eastAsia"/>
        </w:rPr>
        <w:t>分）</w:t>
      </w:r>
    </w:p>
    <w:p w:rsidR="00E11560">
      <w:r>
        <w:t xml:space="preserve"> </w:t>
      </w:r>
    </w:p>
    <w:p w:rsidR="00E11560">
      <w:r>
        <w:t xml:space="preserve"> </w:t>
      </w:r>
    </w:p>
    <w:p w:rsidR="00E11560"/>
    <w:sectPr w:rsidSect="0071680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60" w:rsidP="008F655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10F"/>
    <w:rsid w:val="00716804"/>
    <w:rsid w:val="008F655C"/>
    <w:rsid w:val="00B813C1"/>
    <w:rsid w:val="00D1516A"/>
    <w:rsid w:val="00DD5716"/>
    <w:rsid w:val="00E11560"/>
    <w:rsid w:val="00EB4685"/>
    <w:rsid w:val="00F4010F"/>
    <w:rsid w:val="00F95DFE"/>
    <w:rsid w:val="5D9F20A6"/>
  </w:rsids>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804"/>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6804"/>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655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A7141"/>
    <w:rPr>
      <w:sz w:val="18"/>
      <w:szCs w:val="18"/>
    </w:rPr>
  </w:style>
  <w:style w:type="paragraph" w:styleId="Footer">
    <w:name w:val="footer"/>
    <w:basedOn w:val="Normal"/>
    <w:link w:val="FooterChar"/>
    <w:uiPriority w:val="99"/>
    <w:rsid w:val="008F655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3A714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170</Words>
  <Characters>969</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2019年秋季期末教学质量监测</dc:title>
  <dc:creator>DELL</dc:creator>
  <cp:lastModifiedBy>PC</cp:lastModifiedBy>
  <cp:revision>2</cp:revision>
  <dcterms:created xsi:type="dcterms:W3CDTF">2020-01-13T02:46:00Z</dcterms:created>
  <dcterms:modified xsi:type="dcterms:W3CDTF">2020-01-13T02:46:00Z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