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2010年普通高等学校招生全国统一考试(广东卷)</w:t>
      </w: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文科综合</w:t>
      </w:r>
    </w:p>
    <w:p>
      <w:pPr>
        <w:spacing w:line="360" w:lineRule="auto"/>
        <w:ind w:right="31" w:rightChars="1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1．利用作物秸杆等农副产品发展农区畜牧业，有利于</w:t>
      </w: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A．改善局地气候          B．综合利用资源</w:t>
      </w: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C．防止水土流失          D．保护农田作物</w:t>
      </w:r>
    </w:p>
    <w:p>
      <w:pPr>
        <w:spacing w:line="360" w:lineRule="auto"/>
        <w:ind w:right="31" w:rightChars="1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2．我国甲、乙两地均位于29°N附近。读“1971～2000年甲、乙两地各月气温和降水分布图”（图1），可知</w:t>
      </w:r>
    </w:p>
    <w:p>
      <w:pPr>
        <w:spacing w:line="360" w:lineRule="auto"/>
        <w:ind w:right="31" w:rightChars="15"/>
        <w:rPr>
          <w:rFonts w:hint="eastAsia" w:ascii="宋体" w:hAnsi="宋体"/>
          <w:szCs w:val="21"/>
        </w:rPr>
      </w:pPr>
      <w:bookmarkStart w:id="0" w:name="_GoBack"/>
      <w:r>
        <w:rPr>
          <w:rFonts w:ascii="宋体" w:hAnsi="宋体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104775</wp:posOffset>
            </wp:positionV>
            <wp:extent cx="4210050" cy="1619250"/>
            <wp:effectExtent l="0" t="0" r="0" b="0"/>
            <wp:wrapTight wrapText="bothSides">
              <wp:wrapPolygon>
                <wp:start x="0" y="0"/>
                <wp:lineTo x="0" y="21346"/>
                <wp:lineTo x="21502" y="21346"/>
                <wp:lineTo x="21502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spacing w:line="360" w:lineRule="auto"/>
        <w:ind w:right="31" w:rightChars="15"/>
        <w:rPr>
          <w:rFonts w:hint="eastAsia" w:ascii="宋体" w:hAnsi="宋体"/>
          <w:szCs w:val="21"/>
        </w:rPr>
      </w:pPr>
    </w:p>
    <w:p>
      <w:pPr>
        <w:spacing w:line="360" w:lineRule="auto"/>
        <w:ind w:right="31" w:rightChars="15"/>
        <w:rPr>
          <w:rFonts w:hint="eastAsia" w:ascii="宋体" w:hAnsi="宋体"/>
          <w:szCs w:val="21"/>
        </w:rPr>
      </w:pPr>
    </w:p>
    <w:p>
      <w:pPr>
        <w:spacing w:line="360" w:lineRule="auto"/>
        <w:ind w:right="31" w:rightChars="15"/>
        <w:rPr>
          <w:rFonts w:hint="eastAsia" w:ascii="宋体" w:hAnsi="宋体"/>
          <w:szCs w:val="21"/>
        </w:rPr>
      </w:pPr>
    </w:p>
    <w:p>
      <w:pPr>
        <w:spacing w:line="360" w:lineRule="auto"/>
        <w:ind w:right="31" w:rightChars="15"/>
        <w:rPr>
          <w:rFonts w:hint="eastAsia" w:ascii="宋体" w:hAnsi="宋体"/>
          <w:szCs w:val="21"/>
        </w:rPr>
      </w:pP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A．甲地年平均气温较乙地低      B．乙地降水较甲地丰沛</w:t>
      </w: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C．乙地是高原山地气候          D．甲地属温带季风气候</w:t>
      </w:r>
    </w:p>
    <w:p>
      <w:pPr>
        <w:spacing w:line="360" w:lineRule="auto"/>
        <w:ind w:right="31" w:rightChars="1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3．卫星遥感监测显示，1999～2008年青藏高原上的色林错湖面积扩大了约20%，主要原因是</w:t>
      </w: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A．冰雪融水增加                 B．冻土面积扩大</w:t>
      </w: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C．青藏高原抬升                 D．湖面蒸发增加</w:t>
      </w:r>
    </w:p>
    <w:p>
      <w:pPr>
        <w:spacing w:line="360" w:lineRule="auto"/>
        <w:ind w:right="31" w:rightChars="1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4．下列关于河流的叙述，正确的是</w:t>
      </w: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A．河流右岸更容易侵蚀           B．河水最深处位于河床中心</w:t>
      </w: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C．水面宽度一年中洪水期最大     D．自上游向下游流量逐渐增加</w:t>
      </w: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读“2006年我国水资源、人口、耕地和经济总量区域比重图”（图2），完成5～6题。</w:t>
      </w: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114300" distR="114300">
            <wp:extent cx="4410075" cy="1828165"/>
            <wp:effectExtent l="0" t="0" r="952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1828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right="31" w:rightChars="1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5．人口数量最多，经济总量最大的区域是</w:t>
      </w: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A．西南区       B．西北区       C．南方区        D．北方区</w:t>
      </w:r>
    </w:p>
    <w:p>
      <w:pPr>
        <w:spacing w:line="360" w:lineRule="auto"/>
        <w:ind w:right="31" w:rightChars="1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6．水资源与人口、耕地、经济发展匹配较差的区域是</w:t>
      </w: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A．北方区和南方区                B．北方区和西南区</w:t>
      </w: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C．西北区和西南区                D．西北区和南方区</w:t>
      </w:r>
    </w:p>
    <w:p>
      <w:pPr>
        <w:spacing w:line="360" w:lineRule="auto"/>
        <w:ind w:right="31" w:rightChars="1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7．三峡大坝下游附近河床某测点，沉积物粒径的平均值比建坝前大（如图3示意），其成因是</w:t>
      </w: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114300" distR="114300">
            <wp:extent cx="4990465" cy="1218565"/>
            <wp:effectExtent l="0" t="0" r="635" b="6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1218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A．侵蚀—搬运作用                B．搬运—堆积作用</w:t>
      </w: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C．风化—侵蚀作用                D．沉积—固结成岩作用</w:t>
      </w:r>
    </w:p>
    <w:p>
      <w:pPr>
        <w:spacing w:line="360" w:lineRule="auto"/>
        <w:ind w:right="31" w:rightChars="1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8．下列关于无霜期的叙述，正确的是</w:t>
      </w:r>
    </w:p>
    <w:p>
      <w:pPr>
        <w:spacing w:line="360" w:lineRule="auto"/>
        <w:ind w:left="359" w:leftChars="171" w:right="31" w:rightChars="1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A．同一海拔，纬度越高无霜期越长        B．同一海拔，纬度越低无霜期越短</w:t>
      </w:r>
    </w:p>
    <w:p>
      <w:pPr>
        <w:spacing w:line="360" w:lineRule="auto"/>
        <w:ind w:left="359" w:leftChars="171" w:right="31" w:rightChars="1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C．同一山地，阳坡无霜期短于阴坡        D．同一地段，开阔地无霜期长于低洼地</w:t>
      </w:r>
    </w:p>
    <w:p>
      <w:pPr>
        <w:spacing w:line="360" w:lineRule="auto"/>
        <w:ind w:right="31" w:rightChars="1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9．沙尘暴对地理环境的影响是多方面的。华北地区沙尘暴的降尘会</w:t>
      </w: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A．导致气候变暖           B．引发草场退化</w:t>
      </w: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C．引起地表水体酸化       D．增加土壤肥力</w:t>
      </w:r>
    </w:p>
    <w:p>
      <w:pPr>
        <w:spacing w:line="360" w:lineRule="auto"/>
        <w:ind w:right="31" w:rightChars="15"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读“2005年我国东部沿海某市各圈层间人口净增迁移模式图”（图4），完成10～11题。</w:t>
      </w:r>
    </w:p>
    <w:p>
      <w:pPr>
        <w:spacing w:line="360" w:lineRule="auto"/>
        <w:ind w:right="31" w:rightChars="15"/>
        <w:rPr>
          <w:rFonts w:hint="eastAsia" w:ascii="宋体" w:hAnsi="宋体"/>
          <w:szCs w:val="21"/>
        </w:rPr>
      </w:pPr>
    </w:p>
    <w:p>
      <w:pPr>
        <w:spacing w:line="360" w:lineRule="auto"/>
        <w:ind w:right="31" w:rightChars="1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</w:p>
    <w:p>
      <w:pPr>
        <w:spacing w:line="360" w:lineRule="auto"/>
        <w:ind w:right="31" w:rightChars="15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280035</wp:posOffset>
            </wp:positionV>
            <wp:extent cx="2230120" cy="2377440"/>
            <wp:effectExtent l="0" t="0" r="17780" b="3810"/>
            <wp:wrapTight wrapText="bothSides">
              <wp:wrapPolygon>
                <wp:start x="0" y="0"/>
                <wp:lineTo x="0" y="21462"/>
                <wp:lineTo x="21403" y="21462"/>
                <wp:lineTo x="21403" y="0"/>
                <wp:lineTo x="0" y="0"/>
              </wp:wrapPolygon>
            </wp:wrapTight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012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right="31" w:rightChars="15"/>
        <w:rPr>
          <w:rFonts w:hint="eastAsia" w:ascii="宋体" w:hAnsi="宋体"/>
          <w:szCs w:val="21"/>
        </w:rPr>
      </w:pPr>
    </w:p>
    <w:p>
      <w:pPr>
        <w:spacing w:line="360" w:lineRule="auto"/>
        <w:ind w:right="31" w:rightChars="1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10．可知该市</w:t>
      </w: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A．中心区和近郊区为人口净迁出区</w:t>
      </w: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B．城区边缘区和远郊区为人口净迁入区</w:t>
      </w: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C．城区边缘区人口净迁出量最大</w:t>
      </w: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D．近郊区人口净迁入量最大</w:t>
      </w:r>
    </w:p>
    <w:p>
      <w:pPr>
        <w:spacing w:line="360" w:lineRule="auto"/>
        <w:ind w:right="31" w:rightChars="15"/>
        <w:rPr>
          <w:rFonts w:hint="eastAsia" w:ascii="宋体" w:hAnsi="宋体"/>
          <w:szCs w:val="21"/>
        </w:rPr>
      </w:pPr>
    </w:p>
    <w:p>
      <w:pPr>
        <w:spacing w:line="360" w:lineRule="auto"/>
        <w:ind w:right="31" w:rightChars="1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11．可推测该市</w:t>
      </w: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A．处于城市化初级阶段        B．出现郊区城市化现象</w:t>
      </w: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C．城市“空心化”现象明显    D．城市人口规模逐渐减小</w:t>
      </w:r>
    </w:p>
    <w:p>
      <w:pPr>
        <w:spacing w:line="360" w:lineRule="auto"/>
        <w:ind w:right="31" w:rightChars="1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二、非选择题：本大题共</w:t>
      </w:r>
      <w:r>
        <w:rPr>
          <w:rFonts w:ascii="宋体" w:hAnsi="宋体"/>
          <w:szCs w:val="21"/>
        </w:rPr>
        <w:t>6小题．满分160分。</w:t>
      </w: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40．（26分）中国是贸易大国，政府高度重视出口商品生产的碳排放问题。根据下列材料，结合所学知识，完成（1）～（4）题。</w:t>
      </w: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材料一：2006年中国商品出口示意图（图9）。材料二：中国生产出口商品的CO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排放（图10）。</w:t>
      </w: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114300" distR="114300">
            <wp:extent cx="5274310" cy="2829560"/>
            <wp:effectExtent l="0" t="0" r="2540" b="889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9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114300" distR="114300">
            <wp:extent cx="4199255" cy="2429510"/>
            <wp:effectExtent l="0" t="0" r="10795" b="889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9255" cy="2429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（1）中国商品出口的主要地区是亚洲、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洲和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洲。（4分）</w:t>
      </w: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（2）2010年5月8日21时（北京时间），一艘货轮从上海出发，沿图示航线航行，经过的甲海域洋流流向为 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，经过的乙海域洋流的性质为</w:t>
      </w:r>
      <w:r>
        <w:rPr>
          <w:rFonts w:hint="eastAsia"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szCs w:val="21"/>
        </w:rPr>
        <w:t>。该货轮航行720小时低达纽约（西五区），此时，纽约的区时是2010年6月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日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时。航行中，可用于导航的地理信息技术为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。（10分）</w:t>
      </w: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（3）2000～2006年，中国生产出口商品的CO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排放约占全国排放总量的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分之一（填整数），该时期中国生产出口商品的CO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排放量总体呈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趋势。（4分）</w:t>
      </w: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（4）中国在发展外向型经济过程中，如何减少CO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排放？（8分）</w:t>
      </w: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ind w:right="31" w:rightChars="1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41．（30分）E市位于内蒙古西南部，自然资源丰富，以羊（羊毛和羊绒制品）、煤（煤炭）、土（稀土）、气（天然气）著称。根据下列材料，结合所学知识，完成（1）～（5）题。</w:t>
      </w: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988695</wp:posOffset>
            </wp:positionV>
            <wp:extent cx="5600700" cy="2476500"/>
            <wp:effectExtent l="0" t="0" r="0" b="0"/>
            <wp:wrapTight wrapText="bothSides">
              <wp:wrapPolygon>
                <wp:start x="0" y="0"/>
                <wp:lineTo x="0" y="21434"/>
                <wp:lineTo x="21527" y="21434"/>
                <wp:lineTo x="21527" y="0"/>
                <wp:lineTo x="0" y="0"/>
              </wp:wrapPolygon>
            </wp:wrapTight>
            <wp:docPr id="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材料一：1990～2005年E市土地利用类型变化（图11）。</w:t>
      </w: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材料二：2008年E市规模以上工业增加值构成（图12）。</w:t>
      </w:r>
    </w:p>
    <w:p>
      <w:pPr>
        <w:spacing w:line="360" w:lineRule="auto"/>
        <w:ind w:right="31" w:rightChars="15"/>
        <w:rPr>
          <w:rFonts w:hint="eastAsia" w:ascii="宋体" w:hAnsi="宋体"/>
          <w:szCs w:val="21"/>
        </w:rPr>
      </w:pP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53340</wp:posOffset>
            </wp:positionV>
            <wp:extent cx="5029200" cy="2838450"/>
            <wp:effectExtent l="0" t="0" r="0" b="0"/>
            <wp:wrapTight wrapText="bothSides">
              <wp:wrapPolygon>
                <wp:start x="0" y="0"/>
                <wp:lineTo x="0" y="21455"/>
                <wp:lineTo x="21518" y="21455"/>
                <wp:lineTo x="21518" y="0"/>
                <wp:lineTo x="0" y="0"/>
              </wp:wrapPolygon>
            </wp:wrapTight>
            <wp:docPr id="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（1）该市2005年最主要的土地利用类型是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，1990～2005年变化幅度最大的土地利用类型是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，该市主要的自然带是</w:t>
      </w:r>
      <w:r>
        <w:rPr>
          <w:rFonts w:hint="eastAsia" w:ascii="宋体" w:hAnsi="宋体"/>
          <w:szCs w:val="21"/>
          <w:u w:val="single"/>
        </w:rPr>
        <w:t xml:space="preserve">  。</w:t>
      </w:r>
      <w:r>
        <w:rPr>
          <w:rFonts w:hint="eastAsia" w:ascii="宋体" w:hAnsi="宋体"/>
          <w:szCs w:val="21"/>
        </w:rPr>
        <w:t>（6分）</w:t>
      </w: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（2）与1990年相比，2005年该市建设用地面积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，对此变化合理的解释是</w:t>
      </w:r>
      <w:r>
        <w:rPr>
          <w:rFonts w:hint="eastAsia" w:ascii="宋体" w:hAnsi="宋体"/>
          <w:szCs w:val="21"/>
          <w:u w:val="single"/>
        </w:rPr>
        <w:t xml:space="preserve">                                          </w:t>
      </w:r>
      <w:r>
        <w:rPr>
          <w:rFonts w:hint="eastAsia" w:ascii="宋体" w:hAnsi="宋体"/>
          <w:szCs w:val="21"/>
        </w:rPr>
        <w:t>。（5分）</w:t>
      </w: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（3）影响该市“羊”产业布局的主导区位因素是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。2008年该市的支柱工业部门是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。（4分）</w:t>
      </w: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（4）该市规划了一个工业园区，拟引进图12中的三类工业部门，从产业链构建的角度考虑，你认为应选择哪三类？为什么？（9分）</w:t>
      </w: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ind w:right="31" w:rightChars="15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（5）据报道，该市在距老城区22Km的地方，建成了一个可以容纳100万人的豪华新城区，现入住人口不足3万，没有达到预期目标。简要分析出现这一现象的原因。（6分）</w:t>
      </w:r>
      <w:r>
        <w:rPr>
          <w:rFonts w:ascii="宋体" w:hAnsi="宋体"/>
          <w:szCs w:val="21"/>
        </w:rPr>
        <w:br w:type="page"/>
      </w:r>
      <w:r>
        <w:rPr>
          <w:rFonts w:hint="eastAsia" w:ascii="宋体" w:hAnsi="宋体"/>
          <w:b/>
          <w:sz w:val="32"/>
          <w:szCs w:val="32"/>
        </w:rPr>
        <w:t>2010年普通高等学校招生全国统一考试（广东卷）</w:t>
      </w: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文科综合试题参考答案及评分标准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一、选择题：本大题共 35 小题，每小题 4 分，共 140分。在每小题列出的四个选项中，只有一项是符台题目要求的。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1-10 BCACC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BADDD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11 B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二、非选择题：本大题共 6 小题，满分 160 分。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40、 ( 26 分）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( 1 ）北美   欧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( 2 ）自西向东  暖流  7  8  GPS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( 3 ）三  上升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( 4 ） ① 调整产业结构与贸易结构，减少高耗能产品生产和出口； ② 发展清洁能源，优化能源结构； ③ 更新生产设备与工艺，节能降耗； ④ 发展科学技术，提高能源利用效率。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41. ( 30 分）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( I ）草地  林地  温带草原带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( 2 ）增加  工业化与城市化发展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( 3 ）原料煤炭开采业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( 4 ）三类工业部门：电力生产和供应业（燃气生产供应业）、炼热及石油加工业、化学原料及化学制品业。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理由： ① 充分利用当地资源；② 考虑工业部门之间的前后向联系，增加产品附加值； ③ 共享技术及基础设施，降低成本。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( 5 ） ① 城市规划超前； ② 配套设施不足； ③ 交通不便； ④ 居民住房购买力不足。</w:t>
      </w:r>
    </w:p>
    <w:p>
      <w:pPr>
        <w:snapToGrid w:val="0"/>
        <w:spacing w:line="240" w:lineRule="atLeast"/>
        <w:ind w:firstLine="1050" w:firstLineChars="500"/>
        <w:rPr>
          <w:rFonts w:hint="eastAsia" w:ascii="宋体" w:hAnsi="宋体"/>
          <w:szCs w:val="21"/>
        </w:rPr>
      </w:pPr>
    </w:p>
    <w:p>
      <w:pPr>
        <w:snapToGrid w:val="0"/>
        <w:spacing w:line="240" w:lineRule="atLeast"/>
        <w:rPr>
          <w:rFonts w:hint="eastAsia" w:ascii="宋体" w:hAnsi="宋体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E6ED5"/>
    <w:rsid w:val="6D535020"/>
    <w:rsid w:val="6E2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zi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【品优教学整理：vx19906847632】</dc:title>
  <dc:subject>【品优教学整理：vx19906847632】</dc:subject>
  <dc:creator>tuzi</dc:creator>
  <cp:keywords>【品优教学整理：vx19906847632】</cp:keywords>
  <dc:description>【品优教学整理：vx19906847632】</dc:description>
  <cp:lastModifiedBy>tuzi</cp:lastModifiedBy>
  <cp:revision>1</cp:revision>
  <dcterms:created xsi:type="dcterms:W3CDTF">2018-05-28T06:39:00Z</dcterms:created>
  <dcterms:modified xsi:type="dcterms:W3CDTF">2018-05-28T06:39:31Z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