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2011年普通高等学校招生全国统一考试（广东卷）文科综合</w:t>
      </w:r>
    </w:p>
    <w:p>
      <w:pPr>
        <w:snapToGrid w:val="0"/>
        <w:spacing w:line="240" w:lineRule="atLeast"/>
        <w:rPr>
          <w:rFonts w:hint="eastAsia" w:ascii="宋体" w:hAnsi="宋体"/>
          <w:b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选择题：本大题共35小题，每小题4分，共140分。在每小题列出的四个选项中，只有一项是符合题目要求的。</w:t>
      </w:r>
    </w:p>
    <w:p>
      <w:pPr>
        <w:numPr>
          <w:ilvl w:val="0"/>
          <w:numId w:val="2"/>
        </w:num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读“某区域地质剖面简图”（图1），图中甲、乙、丙三处的地质构造分别是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62400" cy="1704975"/>
            <wp:effectExtent l="0" t="0" r="0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A．断层、向斜、背斜                       B．断层、背斜、向斜</w:t>
      </w:r>
    </w:p>
    <w:p>
      <w:pPr>
        <w:snapToGrid w:val="0"/>
        <w:spacing w:line="240" w:lineRule="atLeas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C．向斜、断层、背斜                    D．背斜、向斜、断层</w:t>
      </w:r>
    </w:p>
    <w:p>
      <w:pPr>
        <w:snapToGrid w:val="0"/>
        <w:spacing w:line="240" w:lineRule="atLeast"/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2．研究发现，长江干流江苏段河床在1985年前后平均冲淤状态发生了明显的转变，由淤积转变为冲刷。其主要原因是</w:t>
      </w:r>
    </w:p>
    <w:p>
      <w:pPr>
        <w:snapToGrid w:val="0"/>
        <w:spacing w:line="240" w:lineRule="atLeast"/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A．该河段平均流速下降                B．该河段径流量减少</w:t>
      </w:r>
    </w:p>
    <w:p>
      <w:pPr>
        <w:snapToGrid w:val="0"/>
        <w:spacing w:line="240" w:lineRule="atLeast"/>
        <w:ind w:left="315" w:left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C．流域年降水量减少               D．上游来沙量减少</w:t>
      </w:r>
    </w:p>
    <w:p>
      <w:pPr>
        <w:snapToGrid w:val="0"/>
        <w:spacing w:line="240" w:lineRule="atLeast"/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3．1996～2006年，我国城镇人口数量年均增长4.46%，城镇建成区面积年均增长5.23%，2006年人均建设用地面积是发达国家的1.58倍。由此可推断该阶段我国</w:t>
      </w:r>
    </w:p>
    <w:p>
      <w:pPr>
        <w:snapToGrid w:val="0"/>
        <w:spacing w:line="240" w:lineRule="atLeast"/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A．城镇建成区城镇人口密度升高</w:t>
      </w:r>
    </w:p>
    <w:p>
      <w:pPr>
        <w:snapToGrid w:val="0"/>
        <w:spacing w:line="240" w:lineRule="atLeast"/>
        <w:ind w:left="315" w:left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B．城镇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6510"/>
            <wp:effectExtent l="0" t="0" r="0" b="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化水平已经超过发达国家</w:t>
      </w:r>
    </w:p>
    <w:p>
      <w:pPr>
        <w:snapToGrid w:val="0"/>
        <w:spacing w:line="240" w:lineRule="atLeast"/>
        <w:ind w:left="315" w:left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C．城镇土地集约利用水平高于发达国家</w:t>
      </w:r>
    </w:p>
    <w:p>
      <w:pPr>
        <w:snapToGrid w:val="0"/>
        <w:spacing w:line="240" w:lineRule="atLeast"/>
        <w:ind w:left="315" w:left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D．城镇人口增长速度滞后于城镇空间扩张速度</w:t>
      </w:r>
    </w:p>
    <w:p>
      <w:pPr>
        <w:snapToGrid w:val="0"/>
        <w:spacing w:line="240" w:lineRule="atLeast"/>
        <w:ind w:left="21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读“2007年我国部分省级行政区人均GDP与人均CO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排放量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29210" cy="24130"/>
            <wp:effectExtent l="0" t="0" r="0" b="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点图”（图2），结合所学知识答4-5题</w:t>
      </w:r>
    </w:p>
    <w:p>
      <w:pPr>
        <w:snapToGrid w:val="0"/>
        <w:spacing w:line="240" w:lineRule="atLeast"/>
        <w:ind w:left="210" w:hanging="240" w:hangingChars="100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62175" cy="1666875"/>
            <wp:effectExtent l="0" t="0" r="9525" b="9525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4．与全国平均水平相比，人均GDP高、人均CO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排放量低的是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A．上海、天津       B．广东、福建       C．海南、贵州       D．辽宁、山东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5．山西、内蒙古人均GDP高，但人均CO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排放量量高。其主要原因是</w:t>
      </w:r>
    </w:p>
    <w:p>
      <w:pPr>
        <w:snapToGrid w:val="0"/>
        <w:spacing w:line="240" w:lineRule="atLeas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A．自然资源贫乏                      B.交通设施落后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C.煤炭消耗量大                        D.第三产业发达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6．暖锋过境期间的天气一般表现为</w:t>
      </w:r>
    </w:p>
    <w:p>
      <w:pPr>
        <w:snapToGrid w:val="0"/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A.锋前气压急剧升高，常出现雷暴天气</w:t>
      </w:r>
    </w:p>
    <w:p>
      <w:pPr>
        <w:snapToGrid w:val="0"/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B.锋后空气湿度增加，常形成大范围降水</w:t>
      </w:r>
    </w:p>
    <w:p>
      <w:pPr>
        <w:snapToGrid w:val="0"/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C.锋前水汽凝结，常形成雨、雾天气</w:t>
      </w:r>
    </w:p>
    <w:p>
      <w:pPr>
        <w:snapToGrid w:val="0"/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D.锋后气温降低，常出现晴朗天气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读“1995-2009年我国某省级行政区户籍人口迁移变动情况图”（图3），结合所学知识，完成7～8题。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19575" cy="2809875"/>
            <wp:effectExtent l="0" t="0" r="9525" b="9525"/>
            <wp:docPr id="1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7.1995～2009年，该省级行政区户籍人中</w:t>
      </w:r>
    </w:p>
    <w:p>
      <w:pPr>
        <w:snapToGrid w:val="0"/>
        <w:spacing w:line="240" w:lineRule="atLeas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A.迁入率持续上升B.迁出率持续降低C.机械增长率缓慢下降D.累计净迁入量逐年增加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8.从人口迁移模式看，该省级行政区可能是</w:t>
      </w:r>
    </w:p>
    <w:p>
      <w:pPr>
        <w:snapToGrid w:val="0"/>
        <w:spacing w:line="240" w:lineRule="atLeas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A上海           B.安徽        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20320"/>
            <wp:effectExtent l="0" t="0" r="0" b="0"/>
            <wp:docPr id="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C.湖南              D.河南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9.某地区植被退化或丧失、土壤物质和地表水流失、岩石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22860"/>
            <wp:effectExtent l="0" t="0" r="0" b="0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溶蚀与侵蚀、基岩裸露、土地生物生产力退化。这一地表过程是</w:t>
      </w:r>
    </w:p>
    <w:p>
      <w:pPr>
        <w:snapToGrid w:val="0"/>
        <w:spacing w:line="240" w:lineRule="atLeas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A.黄土高原水土流失严重的沟壑地区的环境演化过程</w:t>
      </w:r>
    </w:p>
    <w:p>
      <w:pPr>
        <w:snapToGrid w:val="0"/>
        <w:spacing w:line="240" w:lineRule="atLeas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B.石灰岩地区受强烈风力侵蚀作用产生的自然演化过程</w:t>
      </w:r>
    </w:p>
    <w:p>
      <w:pPr>
        <w:snapToGrid w:val="0"/>
        <w:spacing w:line="240" w:lineRule="atLeas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C.石灰岩地区在自然和人类活动作用下的综合演化过程</w:t>
      </w:r>
    </w:p>
    <w:p>
      <w:pPr>
        <w:snapToGrid w:val="0"/>
        <w:spacing w:line="240" w:lineRule="atLeas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D.黄土高原由于地下水的过度开采而造成的人为演化过程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读“汽车产业链结构图”(图4)，结合所学知识，完成10-11题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65650" cy="2385695"/>
            <wp:effectExtent l="0" t="0" r="6350" b="1460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10.从产业链角度看，P代表的产业最有可能是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A．配套产品生产（仪表、轮胎等）                B.汽车研发（发动机、变速箱等）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C.农机制造（拖拉机、农用车等）                  D.能源加工（石油、天然气等）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11.影响汽车服务业布局的主导因素是</w:t>
      </w:r>
    </w:p>
    <w:p>
      <w:pPr>
        <w:snapToGrid w:val="0"/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A．原料          B.市场           C.动力           D.劳动力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二、非选择题：本大题共6小题，满分160分。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40.（28分）法国、意大利和西班牙三国资源环境独特，经济发展水平高。根据下列材料，结合所学知识，完成（1）~（5）题。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材料一：法国、意大利和西班牙地理位置示意图（图9）.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材料二：2007年法国、意大利和西班牙发电量构成（图10）。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4667250" cy="2847975"/>
            <wp:effectExtent l="0" t="0" r="0" b="9525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5271135" cy="2357755"/>
            <wp:effectExtent l="0" t="0" r="5715" b="4445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（1）2011年6月8日，三个国家的首都，白昼最长的是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，正午太阳高度角最大的是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。（4分）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（2）这三个国家南部沿海地区冬季受西风带控制，夏季受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控制，地带性植被是</w:t>
      </w:r>
      <w:r>
        <w:rPr>
          <w:rFonts w:hint="eastAsia" w:ascii="宋体" w:hAnsi="宋体"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</w:rPr>
        <w:t>。（4分）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（3）据图10，热电比重最大的国家是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，风电比重最大的国家是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。风力发电与火力发电相比，对大气环境的污染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。（6分）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（4）意大利自然资源比较贫乏，但那不勒斯市的炼油、钢铁、汽车等工业发达。简要分析其工业布局的主要原因。（6分）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（5）20世纪60年代，法国的人口、产业高度集中于巴黎，巴黎与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29210" cy="22860"/>
            <wp:effectExtent l="0" t="0" r="0" b="0"/>
            <wp:docPr id="1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周边地区发展差异大。对此，法国实施了以均衡化发展为目标的政策，分析其可能采取的措施。（8分）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41.（28分）石羊河流经甘肃省中部，流域内灌溉农业较发达、生态环境问题严重。根据下列材料，结合所学知识。完成（1）~（4）题。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材料一：石羊河流域示意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6510"/>
            <wp:effectExtent l="0" t="0" r="0" b="0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图（图11）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材料二：石羊河流域某采样点垂直剖面图（图12）。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62425" cy="4514850"/>
            <wp:effectExtent l="0" t="0" r="9525" b="0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15" w:hanging="360" w:hangingChars="150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43225" cy="2857500"/>
            <wp:effectExtent l="0" t="0" r="9525" b="0"/>
            <wp:docPr id="1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（1）石羊河的总体流向为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。从内、外流河类型看，该河为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河，判断理由是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。（6分）</w:t>
      </w:r>
    </w:p>
    <w:p>
      <w:pPr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（2）图12所示地层，埋藏越深，距今年代越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；深度1.6米处是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沉积， 由此可推断该地的干湿状况，距今5000年前后比现在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，理由是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。（10分）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（3）该河流中下游地区的气候类型是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，目前面临的最主要的生态环境问题是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（4分）</w:t>
      </w:r>
    </w:p>
    <w:p>
      <w:pPr>
        <w:numPr>
          <w:ilvl w:val="0"/>
          <w:numId w:val="3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为了防止该流域生态环境恶化，在农业生产中，应该采取哪些措施？（8分）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2011年广东高考文综参考答案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一.</w:t>
      </w:r>
      <w:r>
        <w:rPr>
          <w:rFonts w:hint="eastAsia" w:ascii="宋体" w:hAnsi="宋体" w:cs="宋体"/>
          <w:kern w:val="0"/>
          <w:szCs w:val="21"/>
          <w:lang w:eastAsia="zh-Hans"/>
        </w:rPr>
        <w:t>选择题答案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7"/>
        <w:gridCol w:w="657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题目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\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A卷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\</w:t>
            </w:r>
          </w:p>
        </w:tc>
      </w:tr>
    </w:tbl>
    <w:p>
      <w:pPr>
        <w:rPr>
          <w:rFonts w:hint="eastAsia" w:ascii="宋体" w:hAnsi="宋体"/>
          <w:bCs/>
          <w:szCs w:val="21"/>
        </w:rPr>
      </w:pPr>
    </w:p>
    <w:p>
      <w:pPr>
        <w:numPr>
          <w:ilvl w:val="0"/>
          <w:numId w:val="4"/>
        </w:num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非选择题</w:t>
      </w:r>
    </w:p>
    <w:p>
      <w:pPr>
        <w:numPr>
          <w:ilvl w:val="0"/>
          <w:numId w:val="5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(1)巴黎    马德里 (每空2分,共4分)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(2)副热带高气压带    亚热带常绿硬叶林 (每空2分,共4分)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(3)意大利    西班牙    小 (每空2分,共6分)</w:t>
      </w:r>
    </w:p>
    <w:p>
      <w:pPr>
        <w:ind w:left="1677" w:leftChars="200" w:hanging="1257" w:hangingChars="59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(4)主要原因:①优良的港口;②廉价的海运;③较高的技术.(前两点每点2分,第三点及其它合理的答案共2分,满分6分)</w:t>
      </w:r>
    </w:p>
    <w:p>
      <w:pPr>
        <w:ind w:left="638" w:leftChars="200" w:hanging="218" w:hangingChars="10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(5)①实施产业转移;②建设卫星城市;③完善交通等基础设施;④扶持周边地区发展;⑤引导人口外迁.(前三点每点2分,后两点中任一点或其它合理的答案共2分,满分8分)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41、（1）自西南向东北  内流河  没有流入海洋 (每空2分,共6分)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（2）久远  湖沼  湿润  该地当时是湖泊、沼泽,现在是沙漠(前三空每空2分;后一空每点2分,共4分;满分10分) 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（3）温度大陆性气候   土地荒漠化  (每空2分,共4分) </w:t>
      </w:r>
    </w:p>
    <w:p>
      <w:pPr>
        <w:ind w:left="1056" w:hanging="1056" w:hangingChars="503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（4）措施:①提高灌溉技术,发展节水农业;②加强全流域水资源协调管理,合理分配水资源;③合理开采地下水;④加强农田水利工程建设;⑤因地制宜,调整农业生产结构.(任答对一点给2分,满分8分)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C"/>
    <w:multiLevelType w:val="singleLevel"/>
    <w:tmpl w:val="0000000C"/>
    <w:lvl w:ilvl="0" w:tentative="0">
      <w:start w:val="40"/>
      <w:numFmt w:val="decimal"/>
      <w:suff w:val="nothing"/>
      <w:lvlText w:val="%1、"/>
      <w:lvlJc w:val="left"/>
    </w:lvl>
  </w:abstractNum>
  <w:abstractNum w:abstractNumId="2">
    <w:nsid w:val="0000000D"/>
    <w:multiLevelType w:val="singleLevel"/>
    <w:tmpl w:val="0000000D"/>
    <w:lvl w:ilvl="0" w:tentative="0">
      <w:start w:val="2"/>
      <w:numFmt w:val="chineseCounting"/>
      <w:suff w:val="nothing"/>
      <w:lvlText w:val="%1."/>
      <w:lvlJc w:val="left"/>
    </w:lvl>
  </w:abstractNum>
  <w:abstractNum w:abstractNumId="3">
    <w:nsid w:val="0000000F"/>
    <w:multiLevelType w:val="multilevel"/>
    <w:tmpl w:val="0000000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0"/>
    <w:multiLevelType w:val="singleLevel"/>
    <w:tmpl w:val="0000001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C79DC"/>
    <w:rsid w:val="009D16D0"/>
    <w:rsid w:val="47AC79DC"/>
    <w:rsid w:val="6C440B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z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【品优教学整理：vx19906847632】</dc:title>
  <dc:subject>【品优教学整理：vx19906847632】</dc:subject>
  <dc:creator>tuzi</dc:creator>
  <cp:keywords>【品优教学整理：vx19906847632】</cp:keywords>
  <dc:description>【品优教学整理：vx19906847632】</dc:description>
  <cp:lastModifiedBy>死神</cp:lastModifiedBy>
  <cp:revision>1</cp:revision>
  <dcterms:created xsi:type="dcterms:W3CDTF">2018-05-28T06:39:00Z</dcterms:created>
  <dcterms:modified xsi:type="dcterms:W3CDTF">2020-05-06T05:45:05Z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