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12166600</wp:posOffset>
            </wp:positionH>
            <wp:positionV relativeFrom="topMargin">
              <wp:posOffset>10871200</wp:posOffset>
            </wp:positionV>
            <wp:extent cx="342900" cy="431800"/>
            <wp:effectExtent l="0" t="0" r="0" b="6350"/>
            <wp:wrapNone/>
            <wp:docPr id="100021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color w:val="auto"/>
          <w:sz w:val="32"/>
        </w:rPr>
        <w:t>2022年普通高等学校招生全国统一考试（全国乙卷）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t>地理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一、选择题:本题共11小题,每小题4分,共44分。在每小题给出的四个选项中,只有一项是符合题目要求的。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color w:val="auto"/>
        </w:rPr>
        <w:t>中心城区通常为城市中人口最密集的区域。下表数据显示上海、北京、广州、深圳四城市2010年中心城区人口比重及2010～2020年中心城区和中心城区以外地区人口数量的变化。据此完成下面小题。</w:t>
      </w:r>
    </w:p>
    <w:tbl>
      <w:tblPr>
        <w:tblStyle w:val="5"/>
        <w:tblW w:w="7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125"/>
        <w:gridCol w:w="1695"/>
        <w:gridCol w:w="213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城市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2010年中心城区人口比重/%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2010-2020年中心城区人口变化/万人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2010-2020年中心城区以外地区人口变化/万人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上海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30.3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-30.25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215.42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北京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59.7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-72.8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300.9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广州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39.7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129.12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468.46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深圳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34.0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116.88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auto"/>
              </w:rPr>
            </w:pPr>
            <w:r>
              <w:rPr>
                <w:rFonts w:ascii="楷体" w:hAnsi="楷体" w:eastAsia="楷体" w:cs="楷体"/>
                <w:color w:val="auto"/>
              </w:rPr>
              <w:t>596.73</w:t>
            </w:r>
          </w:p>
        </w:tc>
      </w:tr>
    </w:tbl>
    <w:p>
      <w:pPr>
        <w:spacing w:line="360" w:lineRule="auto"/>
        <w:jc w:val="left"/>
        <w:textAlignment w:val="center"/>
        <w:rPr>
          <w:color w:val="auto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1. </w:t>
      </w:r>
      <w:r>
        <w:rPr>
          <w:rFonts w:ascii="宋体" w:hAnsi="宋体" w:eastAsia="宋体" w:cs="宋体"/>
          <w:color w:val="auto"/>
        </w:rPr>
        <w:t>2010～2020年四城市人口变化的共同特点是（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A. </w:t>
      </w:r>
      <w:r>
        <w:rPr>
          <w:rFonts w:ascii="宋体" w:hAnsi="宋体" w:eastAsia="宋体" w:cs="宋体"/>
          <w:color w:val="auto"/>
        </w:rPr>
        <w:t>总人口增加,中心城区人口比重下降</w: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rPr>
          <w:rFonts w:ascii="宋体" w:hAnsi="宋体" w:eastAsia="宋体" w:cs="宋体"/>
          <w:color w:val="auto"/>
        </w:rPr>
        <w:t>总人口减少,中心城区人口比重上升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C. </w:t>
      </w:r>
      <w:r>
        <w:rPr>
          <w:rFonts w:ascii="宋体" w:hAnsi="宋体" w:eastAsia="宋体" w:cs="宋体"/>
          <w:color w:val="auto"/>
        </w:rPr>
        <w:t>总人口增加,中心城区人口比重上升</w: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rPr>
          <w:rFonts w:ascii="宋体" w:hAnsi="宋体" w:eastAsia="宋体" w:cs="宋体"/>
          <w:color w:val="auto"/>
        </w:rPr>
        <w:t>总人口减少,中心城区人口比重下降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2. </w:t>
      </w:r>
      <w:r>
        <w:rPr>
          <w:rFonts w:ascii="宋体" w:hAnsi="宋体" w:eastAsia="宋体" w:cs="宋体"/>
          <w:color w:val="auto"/>
        </w:rPr>
        <w:t>与四城市人口变化共同特点类似的中国其他城市,一般具有（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A. </w:t>
      </w:r>
      <w:r>
        <w:rPr>
          <w:rFonts w:ascii="宋体" w:hAnsi="宋体" w:eastAsia="宋体" w:cs="宋体"/>
          <w:color w:val="auto"/>
        </w:rPr>
        <w:t>相似的空间形态</w: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rPr>
          <w:rFonts w:ascii="宋体" w:hAnsi="宋体" w:eastAsia="宋体" w:cs="宋体"/>
          <w:color w:val="auto"/>
        </w:rPr>
        <w:t>趋同的主导产业</w:t>
      </w:r>
      <w:r>
        <w:rPr>
          <w:rFonts w:hint="eastAsia"/>
        </w:rPr>
        <w:tab/>
      </w:r>
      <w:r>
        <w:rPr>
          <w:rFonts w:hint="eastAsia"/>
        </w:rPr>
        <w:t xml:space="preserve">C. </w:t>
      </w:r>
      <w:r>
        <w:rPr>
          <w:rFonts w:ascii="宋体" w:hAnsi="宋体" w:eastAsia="宋体" w:cs="宋体"/>
          <w:color w:val="auto"/>
        </w:rPr>
        <w:t>一致的功能定位</w: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rPr>
          <w:rFonts w:ascii="宋体" w:hAnsi="宋体" w:eastAsia="宋体" w:cs="宋体"/>
          <w:color w:val="auto"/>
        </w:rPr>
        <w:t>相近的等级规模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3. </w:t>
      </w:r>
      <w:r>
        <w:rPr>
          <w:rFonts w:ascii="宋体" w:hAnsi="宋体" w:eastAsia="宋体" w:cs="宋体"/>
          <w:color w:val="auto"/>
        </w:rPr>
        <w:t>根据四城市人口变化特点,城市规划应该引导（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A. </w:t>
      </w:r>
      <w:r>
        <w:rPr>
          <w:rFonts w:ascii="宋体" w:hAnsi="宋体" w:eastAsia="宋体" w:cs="宋体"/>
          <w:color w:val="auto"/>
        </w:rPr>
        <w:t>人口向中心城区再集聚</w: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rPr>
          <w:rFonts w:ascii="宋体" w:hAnsi="宋体" w:eastAsia="宋体" w:cs="宋体"/>
          <w:color w:val="auto"/>
        </w:rPr>
        <w:t>人口在中心城区以外地区集聚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</w:rPr>
        <w:t xml:space="preserve">C. </w:t>
      </w:r>
      <w:r>
        <w:rPr>
          <w:rFonts w:ascii="宋体" w:hAnsi="宋体" w:eastAsia="宋体" w:cs="宋体"/>
          <w:color w:val="auto"/>
        </w:rPr>
        <w:t>中心城区核心功能疏解</w: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rPr>
          <w:rFonts w:ascii="宋体" w:hAnsi="宋体" w:eastAsia="宋体" w:cs="宋体"/>
          <w:color w:val="auto"/>
        </w:rPr>
        <w:t>人口在中心城区以外地区均衡布局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当雄是拉萨唯一的纯牧业县,牧民占比约90%,依托特色畜种牦牛,走产业扶贫之路。甲公司成立于2017年初,采取“公司＋农户”的模式（下图）,生产的有“身份证”的牦牛肉产品销往全国各地,广受消费者欢迎。据此完成下面小题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4095750" cy="1285875"/>
            <wp:effectExtent l="0" t="0" r="0" b="9525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4. 加入甲公司后,牧民家庭明显增加的是（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牧场面积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牦牛数量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劳动力数量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收入来源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5. 甲公司提高牦牛价值的主要途径是（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①扩大放牧规模②延长产业链条③创建产品品牌④实施多种经营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③④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①④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6. 当雄生长期短,牧草较矮。为保障漫长寒季的草料供应,当地适宜采用的方法是（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①开垦草原种植牧草②储存草原生长期牧草③建设温室种植牧草④从邻近农区购买草料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③④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①④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下图显示黄河桃花峪附近花园口水文站监测的1958年7月、1996年8月两次洪水过程的水位与流量的关系。读图,完成下面小题。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3752850" cy="1733550"/>
            <wp:effectExtent l="0" t="0" r="0" b="0"/>
            <wp:docPr id="100004" name="图片 1000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7. 1958年7月洪水过程中</w:t>
      </w:r>
      <w:r>
        <w:rPr>
          <w:rFonts w:ascii="宋体" w:hAnsi="宋体" w:eastAsia="宋体" w:cs="宋体"/>
          <w:color w:val="000000"/>
          <w:position w:val="-22"/>
        </w:rPr>
        <w:drawing>
          <wp:inline distT="0" distB="0" distL="114300" distR="114300">
            <wp:extent cx="50800" cy="88900"/>
            <wp:effectExtent l="0" t="0" r="6350" b="5080"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图中O、P两点水位变化趋势及两点流速相比（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O点水位上涨,流速较快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O点水位回落,流速较慢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P点水位上涨</w:t>
      </w:r>
      <w:r>
        <w:rPr>
          <w:rFonts w:ascii="宋体" w:hAnsi="宋体" w:eastAsia="宋体" w:cs="宋体"/>
          <w:color w:val="000000"/>
          <w:position w:val="-22"/>
        </w:rPr>
        <w:drawing>
          <wp:inline distT="0" distB="0" distL="114300" distR="114300">
            <wp:extent cx="50800" cy="88900"/>
            <wp:effectExtent l="0" t="0" r="6350" b="5080"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流速较慢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P点水位回落,流速较快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8. 图示资料表明,1996年8月比1958年7月（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洪水含沙量大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洪峰水位低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河床高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洪峰流量大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我国一海滨城市背靠丘陵,某日海陆风明显。下图示意当日该市不同高度的风随时间的变化。据此完成下面小题。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3990975" cy="1447800"/>
            <wp:effectExtent l="0" t="0" r="9525" b="0"/>
            <wp:docPr id="100005" name="图片 1000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9. 当日在观测场释放一只氦气球,观测它在1千米高度以下先向北漂,然后逐渐转向西南。释放气球的时间可能为（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1时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7时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13时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19时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10. 据图推测,陆地大致位于海洋的（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东北方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东南方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西南方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西北方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11. 当日该市所处的气压场的特点是（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北高南低,梯度大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北高南低,梯度小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南高北低,梯度大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南高北低,梯度小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二、非选择题:第12、13题为必做题,第14、15题为选做题,共56分。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 w:eastAsia="宋体" w:cs="宋体"/>
          <w:color w:val="000000"/>
        </w:rPr>
        <w:t>阅读图文材料,完成下列要求。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为缓解淡水资源短缺问题,以色列政府从2001年开始推行海水淡化计划,鼓励企业实行“电水联产”模式,即企业在建设海水淡化厂时,兴建以地中海丰富的天然气为能源的发电厂,且并入国家电网（由进口煤炭发电支撑,成本较高）。目前地中海沿岸地区已建成5家这样的海水淡化厂,每年生产的淡水相当于全国淡水用量的1/3,且被统一纳入国家供水网络优先利用。以色列政府于2022年启动淡化水反注太巴列湖工程,打造淡水“蓄水库”,以缓解最大水源地太巴列湖水位迅速下降的状况。下图示意以色列地中海沿岸地区海水淡化厂及供水网络的分布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3762375" cy="3895725"/>
            <wp:effectExtent l="0" t="0" r="9525" b="9525"/>
            <wp:docPr id="100006" name="图片 10000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（1）说明以色列海水淡化厂的区位特点。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（2）简述以色列海水淡化厂配建天然气发电厂的益处。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（3）指出以色列将海水淡化水纳入国家供水网络的目的。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（4）分析以色列打造淡水“蓄水库”对海水淡化产业发展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12" name="图片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积极影响。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 w:eastAsia="宋体" w:cs="宋体"/>
          <w:color w:val="000000"/>
        </w:rPr>
        <w:t>阅读图文材料,完成下列要求</w:t>
      </w:r>
      <w:r>
        <w:rPr>
          <w:rFonts w:ascii="宋体" w:hAnsi="宋体" w:eastAsia="宋体" w:cs="宋体"/>
          <w:color w:val="000000"/>
          <w:position w:val="-12"/>
        </w:rPr>
        <w:drawing>
          <wp:inline distT="0" distB="0" distL="114300" distR="114300">
            <wp:extent cx="127000" cy="76200"/>
            <wp:effectExtent l="0" t="0" r="0" b="0"/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影响海岸线位置的因素,既有全球尺度因素,如海平面升降,又有区域尺度因素,如泥沙沉积、地壳运动、人类活动等导致的陆面升降。最新研究表明,冰盖消融形成的消融区内,冰盖重力导致的岩层形变缓慢恢复,持续影响着该范围的海岸线位置。距今约1.8万年,北美冰盖开始消融,形成广大消融区。下图显示甲（位于太平洋北岸阿拉斯加的基岩海岸区）、乙（位于墨西哥湾密西西比河的河口三角洲）两站监测的海平面的相对变化。海平面的相对变化是陆面和海平面共同变化的结果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5238750" cy="1657350"/>
            <wp:effectExtent l="0" t="0" r="0" b="0"/>
            <wp:docPr id="100007" name="图片 10000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（1）分别指出冰盖消融导致的海平面、消融区陆面的垂直变化,并说明两者共同导致的海岸线水平变化方向。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（2）根据地理位置,分析甲站陆面垂直变化的原因。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（3）说明导致乙站所在区域海岸线变化的主要人为影响方式。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（4）分析甲站区域与乙站区域海岸线水平变化的方向和幅度的差异。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 w:eastAsia="宋体" w:cs="宋体"/>
          <w:color w:val="000000"/>
        </w:rPr>
        <w:t>[地理—选修3:旅游地理]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在旅游景区,观景台被称为“凝视景点的窗口”“站在风景上看风景的平台”。而观景台有时也像广告牌,告诉甚至“规定”旅游者从这里能看到的典型景色。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评价观景台对旅游者欣赏风景的影响。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15</w:t>
      </w:r>
      <w:r>
        <w:rPr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[地理—选修6:环境保护]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呼伦贝尔草原牧草以禾本科牧草为主,伴生优质豆科牧草,两类牧草对生长空间的竞争激烈。这里土壤氮素含量低,限制了禾本科牧草的生长,但对豆科牧草的生长影响较弱。21世纪初,在草原公路两侧几千米甚至十几千米的范围内,汽车尾气导致的氮化物沉降,增加了土壤氮素含量,影响牧草生长。</w:t>
      </w:r>
    </w:p>
    <w:p>
      <w:pPr>
        <w:spacing w:line="360" w:lineRule="auto"/>
        <w:jc w:val="left"/>
        <w:textAlignment w:val="center"/>
      </w:pPr>
      <w:r>
        <w:rPr>
          <w:rFonts w:ascii="宋体" w:hAnsi="宋体" w:eastAsia="宋体" w:cs="宋体"/>
          <w:color w:val="000000"/>
        </w:rPr>
        <w:t>说明汽车尾气导致的氮沉降对呼伦贝尔草原公路两侧牧草的影响。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mNmYyNzVlYjMwOGQzZTdiZjU4YTY1NTJhZGRiZDM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0B471C17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24"/>
    </w:rPr>
  </w:style>
  <w:style w:type="paragraph" w:styleId="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1.wmf"/><Relationship Id="rId14" Type="http://schemas.openxmlformats.org/officeDocument/2006/relationships/image" Target="media/image10.png"/><Relationship Id="rId13" Type="http://schemas.openxmlformats.org/officeDocument/2006/relationships/image" Target="media/image9.wmf"/><Relationship Id="rId12" Type="http://schemas.openxmlformats.org/officeDocument/2006/relationships/image" Target="media/image8.wmf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971F0-FB63-4391-9891-E28625296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 www.zxxk.com</Company>
  <Pages>6</Pages>
  <Words>2135</Words>
  <Characters>2332</Characters>
  <Lines>0</Lines>
  <Paragraphs>0</Paragraphs>
  <TotalTime>1</TotalTime>
  <ScaleCrop>false</ScaleCrop>
  <LinksUpToDate>false</LinksUpToDate>
  <CharactersWithSpaces>2454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2022-06-09T17:51:00Z</dcterms:created>
  <dc:creator>学科网试题生产平台</dc:creator>
  <dc:description>2997503428075520</dc:description>
  <cp:lastModifiedBy>AA食来运转美食店洪丽</cp:lastModifiedBy>
  <dcterms:modified xsi:type="dcterms:W3CDTF">2022-06-09T12:00:14Z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2052-11.1.0.11744</vt:lpwstr>
  </property>
  <property fmtid="{D5CDD505-2E9C-101B-9397-08002B2CF9AE}" pid="7" name="ICV">
    <vt:lpwstr>A3144E23B1D0403FB67507384C56D691</vt:lpwstr>
  </property>
</Properties>
</file>