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bookmarkStart w:id="0" w:name="_GoBack"/>
      <w:bookmarkEnd w:id="0"/>
      <w:r>
        <w:rPr>
          <w:rFonts w:ascii="宋体" w:hAnsi="宋体" w:eastAsia="宋体" w:cs="宋体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12103100</wp:posOffset>
            </wp:positionH>
            <wp:positionV relativeFrom="topMargin">
              <wp:posOffset>12090400</wp:posOffset>
            </wp:positionV>
            <wp:extent cx="393700" cy="304800"/>
            <wp:effectExtent l="0" t="0" r="6350" b="0"/>
            <wp:wrapNone/>
            <wp:docPr id="100021" name="图片 1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color w:val="auto"/>
          <w:sz w:val="32"/>
        </w:rPr>
        <w:t>2022年辽宁省普通高等学校招生选择性考试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32"/>
        </w:rPr>
      </w:pPr>
      <w:r>
        <w:rPr>
          <w:rFonts w:ascii="宋体" w:hAnsi="宋体" w:eastAsia="宋体" w:cs="宋体"/>
          <w:b/>
          <w:color w:val="auto"/>
          <w:sz w:val="32"/>
        </w:rPr>
        <w:t>地理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本试卷满分100分，考试时间75分钟。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ascii="宋体" w:hAnsi="宋体" w:eastAsia="宋体" w:cs="宋体"/>
          <w:b/>
          <w:color w:val="auto"/>
          <w:sz w:val="24"/>
        </w:rPr>
        <w:t>一、选择题:本题共16小题，每小题3分，共48分。在每小题给出的四个选项中，只有一项是符合题目要求的。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auto"/>
        </w:rPr>
      </w:pPr>
      <w:r>
        <w:rPr>
          <w:rFonts w:ascii="楷体" w:hAnsi="楷体" w:eastAsia="楷体" w:cs="楷体"/>
          <w:color w:val="auto"/>
        </w:rPr>
        <w:t>云南哀牢山东麓盛产的柑橘汁水饱满,但常温下不易保存,且柑橘的种植户分散，面临从田间地头到冷链系统的“最先一公里”困境。2020年某企业在该地建立产地仓（数字农业集运加工中心）解决这一问题。下图为农产品冷链物流流程示意图。据此完成下面小题。</w:t>
      </w:r>
    </w:p>
    <w:p>
      <w:pPr>
        <w:spacing w:line="360" w:lineRule="auto"/>
        <w:jc w:val="left"/>
        <w:textAlignment w:val="center"/>
        <w:rPr>
          <w:color w:val="auto"/>
        </w:rPr>
      </w:pPr>
      <w:r>
        <w:rPr>
          <w:rFonts w:hint="eastAsia"/>
        </w:rPr>
        <w:drawing>
          <wp:inline distT="0" distB="0" distL="114300" distR="114300">
            <wp:extent cx="4600575" cy="1400175"/>
            <wp:effectExtent l="0" t="0" r="9525" b="9525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1. </w:t>
      </w:r>
      <w:r>
        <w:rPr>
          <w:rFonts w:ascii="宋体" w:hAnsi="宋体" w:eastAsia="宋体" w:cs="宋体"/>
          <w:color w:val="auto"/>
        </w:rPr>
        <w:t>产地仓能够解决“最先一公里”问题是因为（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使农产品更接近消费市场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延长柑橘生产的产业链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充分利用劳动力资源优势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提供快捷仓储保鲜物流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2. </w:t>
      </w:r>
      <w:r>
        <w:rPr>
          <w:rFonts w:ascii="宋体" w:hAnsi="宋体" w:eastAsia="宋体" w:cs="宋体"/>
          <w:color w:val="auto"/>
        </w:rPr>
        <w:t>产地仓建立对当地柑橘产业</w:t>
      </w:r>
      <w:r>
        <w:rPr>
          <w:rFonts w:ascii="宋体" w:hAnsi="宋体" w:eastAsia="宋体" w:cs="宋体"/>
          <w:color w:val="auto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</w:rPr>
        <w:t>积极影响是（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auto"/>
        </w:rPr>
      </w:pPr>
      <w:r>
        <w:rPr>
          <w:rFonts w:hint="eastAsia"/>
        </w:rPr>
        <w:t xml:space="preserve">A. </w:t>
      </w:r>
      <w:r>
        <w:rPr>
          <w:rFonts w:ascii="宋体" w:hAnsi="宋体" w:eastAsia="宋体" w:cs="宋体"/>
          <w:color w:val="auto"/>
        </w:rPr>
        <w:t>快速提高农产品产量</w:t>
      </w:r>
      <w:r>
        <w:rPr>
          <w:rFonts w:hint="eastAsia"/>
        </w:rPr>
        <w:tab/>
      </w:r>
      <w:r>
        <w:rPr>
          <w:rFonts w:hint="eastAsia"/>
        </w:rPr>
        <w:t xml:space="preserve">B. </w:t>
      </w:r>
      <w:r>
        <w:rPr>
          <w:rFonts w:ascii="宋体" w:hAnsi="宋体" w:eastAsia="宋体" w:cs="宋体"/>
          <w:color w:val="auto"/>
        </w:rPr>
        <w:t>促进农产品标准化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hint="eastAsia"/>
        </w:rPr>
        <w:t xml:space="preserve">C. </w:t>
      </w:r>
      <w:r>
        <w:rPr>
          <w:rFonts w:ascii="宋体" w:hAnsi="宋体" w:eastAsia="宋体" w:cs="宋体"/>
          <w:color w:val="auto"/>
        </w:rPr>
        <w:t>降低农产品生产成本</w:t>
      </w:r>
      <w:r>
        <w:rPr>
          <w:rFonts w:hint="eastAsia"/>
        </w:rPr>
        <w:tab/>
      </w:r>
      <w:r>
        <w:rPr>
          <w:rFonts w:hint="eastAsia"/>
        </w:rPr>
        <w:t xml:space="preserve">D. </w:t>
      </w:r>
      <w:r>
        <w:rPr>
          <w:rFonts w:ascii="宋体" w:hAnsi="宋体" w:eastAsia="宋体" w:cs="宋体"/>
          <w:color w:val="auto"/>
        </w:rPr>
        <w:t>推广制冷技术应用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一般情况下，气侯寒冷期冰川范围扩大，海平面下降。在风力搬运作用下，我国北方某海岸在末次冰期中的相对寒冷期沉积了砂质沉积物，相对温暖期沉积了黄土状沉积物。下图为沉积剖面及其所在位置示意图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524250" cy="2209800"/>
            <wp:effectExtent l="0" t="0" r="0" b="0"/>
            <wp:docPr id="100004" name="图片 10000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图片 10000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3. 推断剖面A→B→C层形成过程中海平面大致经历了（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持续上升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持续下降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先降后升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先升后降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4. 砂质沉积物的来源主要是末次冰期的（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海岸沙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河流沙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洪积物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冰碛物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下梅村位于武夷山东、梅溪下游，四周群山环抱。村落始建于隋朝，清朝时成为闽北地区茶叶的集散地与通往欧洞的“万里茶道”的起点。当溪横穿村落汇入梅溪，历史上经过数次改造。下表为宋、明时期当溪的改造内容。下图示意目前该村落布局。据此完成下面小题。</w:t>
      </w:r>
    </w:p>
    <w:tbl>
      <w:tblPr>
        <w:tblStyle w:val="4"/>
        <w:tblW w:w="5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3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朝代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改造内容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宋朝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疏河床、垒岸坡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65" w:hRule="atLeast"/>
        </w:trPr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明朝</w:t>
            </w:r>
          </w:p>
        </w:tc>
        <w:tc>
          <w:tcPr>
            <w:tcW w:w="4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楷体" w:hAnsi="楷体" w:eastAsia="楷体" w:cs="楷体"/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</w:rPr>
              <w:t>加深拓宽河床修建提水、蓄水工程</w:t>
            </w:r>
          </w:p>
        </w:tc>
      </w:tr>
    </w:tbl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注:暂缺图。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5. 宋朝、明朝当溪改造的目的分别为（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供水；防洪和水运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供水；水运和养殖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防洪；防洪和灌溉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防洪；养殖和供水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6. 图中茶店在村落中分布的主要影响因素是（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交通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茶园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客流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地价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我国某段峡谷谷底自然生长大量仙人掌，山坡上是稀疏的灌丛，山顶有森林分布。小华同学暑期沿该段峡谷进行地理研学，途经“大流砂”。“大流砂”宽约300米、高约900米，坡面有大量碎石，由上至下呈发散状分布直至坡底。此处时常发生地质灾害。下图示意“大流砂”位置。据此完成下面小题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注:暂缺图。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7. 该段峡谷夏季气候特征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58750" cy="190500"/>
            <wp:effectExtent l="0" t="0" r="12700" b="0"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湿热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冷湿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干冷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干热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8. “大流砂”的碎石主要来源于（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河流堆积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冰川侵蚀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基岩风化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风力搬运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9. 为减轻该处地质灾害影响，最适宜的措施是在“大流砂”所在地（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坡面植树造林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两侧设排水渠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坡底修建挡墙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坡顶平整土地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张家口地区的东南部为山间盆地，地势相对平坦，水资源丰富。该地区利用充沛的风能、太阳能资源，建设了绿氢生产基地。下图为氢能产业链示意图。据此完成下面小题。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4495800" cy="1885950"/>
            <wp:effectExtent l="0" t="0" r="0" b="0"/>
            <wp:docPr id="100005" name="图片 10000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10. “绿氢”相对于“灰氢”和“蓝氢”（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12" name="图片 1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图片 1000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产业链条复杂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制备过程无污染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储存运输安全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终端应用零排放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11. 张家口地区发展绿氢产业,原因是“绿氢”（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生产布局更加均衡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距离消费市场更近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生产成本更加低廉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可提高能源利用率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水分利用效率是指植物消耗单位质量的水所固定二氧化碳（或生成干物质）的量，一般表述为单位时间，单位面积内光合作用合成的有机物质总量与实际蒸散发量（蒸发量和植物蒸腾量）的比值。据此完成下面小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12. 自然状态下，下列选项中水分利用效率最低的是我国（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7月的热带季雨林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12月的热带季雨林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7月的落叶阔叶林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12月的落叶阔叶林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13. 最可能提高祁连山区高寒草甸年均水分利用效率的是（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生长季结束时间提前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月平均风速均减小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生长季降水比例降低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月平均温度均降低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为保障2022北京冬奥会顺利进行，气象部门提前在云顶和古杨树赛场建立自动观测气象站。左图示意云顶赛场甲、乙气象站和古杨树赛场丙、丁气象站的位置。右图为各气象站2019年1-3月平均气温的日变化图。据此完成下面小题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5238750" cy="2014220"/>
            <wp:effectExtent l="0" t="0" r="0" b="5080"/>
            <wp:docPr id="100006" name="图片 1000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1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14. 据图可知（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</w:t>
      </w:r>
      <w:r>
        <w:rPr>
          <w:rFonts w:ascii="宋体" w:hAnsi="宋体" w:eastAsia="宋体" w:cs="宋体"/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 xml:space="preserve"> 白天古杨树赛场比云顶赛场最高气温低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傍晚云顶赛场比古杨树赛场降温速率快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C. 夜间气温随海拔高度的增加而降低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古杨树赛场比云顶赛场昼夜温差大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15. 丙气象站夜间气温低是由于（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冷空气聚集多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水汽蒸发强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海平面气压低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降水量较大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16. 古杨树赛场夜间气温的垂直变化多出现在天气图中的（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A. 等压线稀疏区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B. 气旋大风区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C. 等压线低值中心</w:t>
      </w:r>
      <w:r>
        <w:rPr>
          <w:rFonts w:ascii="宋体" w:hAnsi="宋体" w:eastAsia="宋体" w:cs="宋体"/>
          <w:color w:val="000000"/>
        </w:rPr>
        <w:tab/>
      </w:r>
      <w:r>
        <w:rPr>
          <w:rFonts w:ascii="宋体" w:hAnsi="宋体" w:eastAsia="宋体" w:cs="宋体"/>
          <w:color w:val="000000"/>
        </w:rPr>
        <w:t>D. 气旋降水区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color w:val="000000"/>
          <w:sz w:val="24"/>
        </w:rPr>
      </w:pPr>
      <w:r>
        <w:rPr>
          <w:rFonts w:ascii="宋体" w:hAnsi="宋体" w:eastAsia="宋体" w:cs="宋体"/>
          <w:b/>
          <w:color w:val="000000"/>
          <w:sz w:val="24"/>
        </w:rPr>
        <w:t>二、非选择题:本题共3小题，共52分。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阅读材料，完成下列要求。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大豆是重要的粮食和油料作物。大豆根部的根瘤菌，具有固氮与较强的耐污染能力。20世纪90年代中期以来，我国大豆进口量持续攀升，目前达到国内总消费量的85%左右。随着国内消费结构升级，大豆需求快速增长，为应对产需缺口，各地推出一系列政策提高农民种植积极性。黑龙江省发布玉米和大豆生产者的补贴标准后，玉米、大豆的播种面积和总产量发生了变化，2018-2020年，玉米的补贴价格上升,播种面积在下降，总产量有所下降;大豆的补贴价格在下降，播种面积在上升，总产量在上升。玉米与大豆轮作可以保障粮食作物生产结构合理和粮食增产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注:第17题缺表。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（1）说明我国大豆种植面积扩大的意义。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（2）据表分析粮食补贴政策对农民选择种植玉米或大豆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影响。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（3）分析玉米与大豆轮作对土壤的作用。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阅读图文材料，完成下列要求。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中深层地下水的开采超过其恢复和更新能力，会造成中深层地下水补给区的水位低于浅层地下水的水位，改变地下水的补给与排泄方式。某科研团队研究太原盆地中深层地下水的溶解性总固体含量（简称TDS,即每升水中所含的溶解性固体量）分布特征，发现TDS值越高的地方，地下水水位越低。下图示意太原盆地中深层地下水TDS值的分布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注:第18题缺图。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（1）分析该盆地中深层地下水水位分布并推断地下水流动方向。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（2）简述该盆地中深层地下水的主要补给来源。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（3）说出为保持地下水可持续利用应采取的措施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color w:val="000000"/>
        </w:rPr>
        <w:t xml:space="preserve">19. </w:t>
      </w:r>
      <w:r>
        <w:rPr>
          <w:rFonts w:ascii="宋体" w:hAnsi="宋体" w:eastAsia="宋体" w:cs="宋体"/>
          <w:color w:val="000000"/>
        </w:rPr>
        <w:t>阅读图文材料,完成下列要求。</w:t>
      </w:r>
    </w:p>
    <w:p>
      <w:pPr>
        <w:spacing w:line="360" w:lineRule="auto"/>
        <w:ind w:firstLine="420"/>
        <w:jc w:val="left"/>
        <w:textAlignment w:val="center"/>
        <w:rPr>
          <w:rFonts w:ascii="楷体" w:hAnsi="楷体" w:eastAsia="楷体" w:cs="楷体"/>
          <w:color w:val="000000"/>
        </w:rPr>
      </w:pPr>
      <w:r>
        <w:rPr>
          <w:rFonts w:ascii="楷体" w:hAnsi="楷体" w:eastAsia="楷体" w:cs="楷体"/>
          <w:color w:val="000000"/>
        </w:rPr>
        <w:t>镍矿是战略性资源。目前我国镍矿资源占全球总量3%左右，但消费量居全球第一。印度尼西亚低品位红土镍矿储量丰富,易开采，难冶炼。2006年后中国企业在印度尼西亚投资采矿。2014年印度尼西亚政府颁布禁止镍矿出口政策后，中国企业利用其全球领先的低品位红土镍矿规模化冶炼技术，开始在该国建设镍冶炼厂,产品大部分销往中国。下图为2006-2016年中国镍矿进口量及从印度尼西亚、菲律宾镍矿进口占中国镍矿进口总量之比变化图。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drawing>
          <wp:inline distT="0" distB="0" distL="114300" distR="114300">
            <wp:extent cx="3895725" cy="2533650"/>
            <wp:effectExtent l="0" t="0" r="9525" b="0"/>
            <wp:docPr id="100007" name="图片 10000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（1）据图说明中国镍矿进口的基本特点。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（2）分析中国镍资源安全存在的主要风险。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</w:rPr>
      </w:pPr>
      <w:r>
        <w:rPr>
          <w:rFonts w:ascii="宋体" w:hAnsi="宋体" w:eastAsia="宋体" w:cs="宋体"/>
          <w:color w:val="000000"/>
        </w:rPr>
        <w:t>（3）依据材料阐述保障中国镍资源安全的途径。</w:t>
      </w:r>
    </w:p>
    <w:p>
      <w:pPr>
        <w:spacing w:line="360" w:lineRule="auto"/>
        <w:jc w:val="left"/>
        <w:textAlignment w:val="center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910" w:right="1080" w:bottom="1440" w:left="1080" w:header="152" w:footer="0" w:gutter="0"/>
          <w:cols w:space="720" w:num="1"/>
          <w:docGrid w:type="lines" w:linePitch="312" w:charSpace="0"/>
        </w:sectPr>
      </w:pPr>
      <w:r>
        <w:rPr>
          <w:rFonts w:ascii="宋体" w:hAnsi="宋体" w:eastAsia="宋体" w:cs="宋体"/>
          <w:color w:val="000000"/>
        </w:rPr>
        <w:br w:type="textWrapping"/>
      </w:r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9E203F"/>
    <w:rsid w:val="00A07DF2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5ABD3D32"/>
    <w:rsid w:val="78F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wmf"/><Relationship Id="rId11" Type="http://schemas.openxmlformats.org/officeDocument/2006/relationships/image" Target="media/image6.png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971F0-FB63-4391-9891-E286252968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学科网 www.zxxk.com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2022-07-19T17:19:00Z</dcterms:created>
  <dc:creator>学科网试题生产平台</dc:creator>
  <dc:description>3018039845560320</dc:description>
  <cp:lastModifiedBy>AA食来运转美食店洪丽</cp:lastModifiedBy>
  <dcterms:modified xsi:type="dcterms:W3CDTF">2022-07-19T10:35:55Z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2052-11.1.0.11875</vt:lpwstr>
  </property>
  <property fmtid="{D5CDD505-2E9C-101B-9397-08002B2CF9AE}" pid="7" name="ICV">
    <vt:lpwstr>2DBCB18BB99C4B9A87556AB7A68BE253</vt:lpwstr>
  </property>
</Properties>
</file>