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5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10515600</wp:posOffset>
            </wp:positionH>
            <wp:positionV relativeFrom="topMargin">
              <wp:posOffset>10248900</wp:posOffset>
            </wp:positionV>
            <wp:extent cx="342900" cy="254000"/>
            <wp:effectExtent l="0" t="0" r="0" b="1270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2022年全国乙卷文综历史试题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据下图可知，商、西周青铜器铸造的繁荣（    ）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</w:rPr>
        <w:drawing>
          <wp:inline distT="0" distB="0" distL="114300" distR="114300">
            <wp:extent cx="3990975" cy="3114675"/>
            <wp:effectExtent l="0" t="0" r="9525" b="952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>A</w:t>
      </w:r>
      <w:r>
        <w:rPr>
          <w:rFonts w:hint="eastAsia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宋体" w:hAnsi="宋体" w:eastAsia="宋体" w:cs="宋体"/>
          <w:color w:val="auto"/>
        </w:rPr>
        <w:t>推动了南北农业经济进步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依赖大规模商业活动开展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反映了南北方联系的加强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缘于统治区域扩大到江南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【详解】依据图示可知， 商周政治重心位于黄河流域，而青铜原料有一部分来源于长江流域，这反映了南北方联系</w:t>
      </w:r>
      <w:r>
        <w:rPr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加强，C符合题意；材料无法得出对农业的影响，结合所学可知，青铜器比较珍贵且坚韧度不够好，未广泛用于农业，A排除；青铜铸造由官府垄断，B排除；地图未标示统治区域，无法得出扩大到江南，D排除。故选C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盛唐洋溢着刚健丰伟、庄重博大的时代气象，这在书法艺术上亦有体现。宋代书法家米芾推崇唐代某位书法家的作品“如项羽挂甲，樊哙排突，硬弩欲张，铁柱将立，昂然有不可犯之色”。能够突出体现这一风格的书体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小篆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楷书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行书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草书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结合所学可知楷书具有字体端正、笔画工整的特点，与材料形象化的描述相符，B项正确；小篆是秦朝时期的字体，且篆书比较舒朗，具有曲线美，排除A项；行书与草书都具有灵活的特点，不要太受法度之限制，与材料信息不相符，排除CD项。故选B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宋朝在州府设通判，重要州府设两名，民户少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州可以不置，但若武官任知州，则必置。通判有自己专属的衙门通判厅，与知州（府）共议政务、同署文书，“有军旅之事，则专任钱粮之责”。据此可知，设置通判的主要目的是（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规范地方行政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防止武人干政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提升军事能力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削弱州府权力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 题干信息重点阐释了通判的建制员额、职责权限，说明设置通判的主要目的在于规范地方行政，A项正确；“武人干政” 涉及的是中央权力，题干信息说的是地方，B排除；提升军事能力、削弱州府权力都不是目的，CD排除；故选A项。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明后期有士人称，江南流行“好名喜夸”之风，家中但凡有千金之产，必定会营建一园，“近聚土壤，远延木石，聊以矜眩于一时耳”，但“俗气扑人”。这可用于说明（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士大夫传统观念的颠覆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世俗化审美趣味的初现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士农工商社会结构解体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江南市镇工商业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繁荣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依据材料“明后期有士人……家中但凡有千金之产，必定会营建一园”，可以看出这一时期工商业的繁荣，带来情趣的变化，D项正确；“颠覆”表述错误，排除A项；“初现”表述错误，排除B项；“解体”表述错误，排除C项。故选D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维新变法期间，湖南巡抚陈宝箴推行变法改革，但在上《请厘正学术造就人才折》中称“康有为平日所著《孔子改制考》一书……其徒和之，持之愈坚，失之愈远，嚣然自命，号为‘康学’，而民权平等之说炽矣”，并奏请销毁《孔子改制考》。这种主张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推动了新旧势力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合流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试图突破“中体西用”束缚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有助于减少变法的阻力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意在彻底否定变法理论基础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根据材料“湖南巡抚陈宝箴推行变法改革”、“奏请销毁《孔子改制考》”，可以看出，陈宝箴本人是赞同并推行了变法改革的，但同时他又认为‘康学’使民权平等的学说非常兴盛，这会造成守旧派更大的阻扰，故其奏请销毁《孔子改制考》，是为了减少变法的阻力，C项正确；新旧势力的合流，不符合史实，排除A项；材料体现的是其奏请销毁《孔子改制考》，是为了减少变法的阻力，不是为了突破“中体西用”束缚，排除B项；彻底否定，过于绝对，不符合史实，排除D项。故选C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据某位学者回忆，“‘五四’初期，一般人多以新旧分别事物”，中国古来已有的一概称为旧，古来未有或来自外国的一概称为新；不久，有了“更高的判别的准绳……对于古今、中外能够排好恰当的关系”，并不一概否定或肯定。这一转变反映出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东西方文化论争由此引发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传统儒学思想开始受到批判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全盘西化的思想得以消除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思想解放运动方向发生变化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依据材料“并不一概否定或肯定”，可知五四初期对文化的态度到这一时期有了一定的变化，对待中西方文化更具理性，对传统文化的态度发生了一定的变化，说明思想解放运动方向发生变化，结合所学可知，五四运动后，马克思主义的传播成为新文化运动的主流，主张辩证的看待传统文化，D项正确；“由此引发”表述错误，排除A项；“开始受到批判”是在新文化运动时期，排除B项；“得以消除”表述错误，排除C项。故选D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20世纪30年代，中共中央决定将苏维埃工农共和国改变为苏维埃人民共和国，政策调整为：给一切革命的小资产阶级及其知识分子以选举权和被选举权，停止没收富农的土地及财产，允许有产阶级代表参加苏区政权管理工作，等等。上述调整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适应建立抗日民族统一战线的需要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是为武装反抗国民党进行社会动员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表明党的中心工作以夺取城市为目标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为建立民主联合政府争取广泛的支持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依据材料“苏维埃工农共和国改变为苏维埃人民共和国”“给一切革命的小资产阶级及其知识分子以选举权和被选举权，停止没收富农的土地及财产，允许有产阶级代表参加苏区政权管理工作”，可以看出这一时期给了其他阶级一定的权利，拉拢其他阶级，共同为抗战服务，A项正确；材料涉及的抗战，不是武装反抗国民党，排除B项；材料未涉及党的中心工作的变化，排除C项；1944年才提出建立民主联合政府，时间不符，排除D项。故选A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下图是1978年与1986年北京郊区男户主职业占比变化情况。这一变化的产生主要是由于（    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3676650" cy="1600200"/>
            <wp:effectExtent l="0" t="0" r="0" b="0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/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城市经济体制改革开始酝酿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农村经济体制改革深化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城乡之间的差异呈缩小趋势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城市产业结构日益完善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宋体" w:hAnsi="宋体" w:eastAsia="宋体" w:cs="宋体"/>
          <w:color w:val="000000"/>
        </w:rPr>
        <w:t>依据材料图示可以看出，农业占比减少，工商业、运输业等的占比有所增长。此时农村改革向市场化方向深化，个体工商、运输等迅速发展，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项正确；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开始酝酿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表述错误，排除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项；材料不能看出城乡之间的差距，排除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项；材料反映的郊区的发展，排除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 w:eastAsia="宋体" w:cs="宋体"/>
          <w:color w:val="000000"/>
        </w:rPr>
        <w:t>项。故选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项。</w:t>
      </w: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据学者研究，古代雅典官员在接受任职资格审查时，需要回答：直系亲属姓名及男性亲属所在村社名称、崇拜的神祗及其圣所所在地、墓葬方位、是否善待双亲、是否纳税、是否服兵役等。下列属于成为古代雅典官员前提条件的是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军事才能、宗教信仰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道德品质、演说能力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丰厚财力、贵族血统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本邦籍贯、成年男性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依据材料“古代雅典官员在接受任职资格审查”，结合所学知识可知，成为雅典官员的先决条件必须首先是雅典籍贯的成年男性公民，D项正确；军事才能、宗教信仰；道德品质、演说能力；丰厚财力、贵族血统，这些条件都不一定能成为官员，排除ABC项。故选D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16世纪中叶，法国人帕斯基耶写作《法国研究》时说，“我用俗语（而非拉丁语）写作”；布代的《论钱币》处处流露出捍卫法国文化并与意大利人竞争的意识。有学者因此认为，16世纪是“法国意识”萌发的世纪。据此可知，“法国意识”的萌发缘于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人文主义思想的广泛传播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新兴阶层摆脱宗教神权束缚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资本主义经济的迅猛发展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“人民主权”学说深入人心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根据材料及所学知识可知，“法国意识”实际上属于民族意识，自从意大利文艺复兴以来，法国不断吸收意大利文化，并经历了从模仿到超越的阶段，题干内容属于“试图超越阶段”，因此“法国意识”发缘于意大利人文主义思想的传播，A项正确；“法国意识”的萌发缘于人文主义思想的广泛传播，B项不属于主要原因，排除B项；19世纪的革命风暴、殖民掠夺、工业革命导致了资本主义经济迅猛发展，排除C项；启蒙运动时期，“人民主权”学说深入人心，排除D项。故选A项。（解析参考论文：意大利时刻16世纪法国对意大利文化的接受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1879年，德国杜伊斯堡成为世界最大内河港口，输入矿砂和粮食，输出煤和钢铁制品。1900年，德国船队总吨位由1870年不足百万吨发展至近200万吨，成为蒸汽时代以来第一个能与大英帝国一争高低的船队。由此可知，这一时期的德国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已经确立“世界工厂”的地位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航运业的发展助长其海外扩张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海上实力飞跃源于蒸汽机的改进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共和政体确立推动经济飞速发展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依据材料“1900年，德国船队总吨位由1870年不足百万吨发展至近200万吨，成为蒸汽时代以来第一个能与大英帝国一争高低的船队”，可以看出此时德国的航运业发展速度非常迅猛，经济的发展，国家实力的增强，促使其海外扩张，B项正确；“世界工厂”是对英国的称呼，排除A项；材料不能看出航运飞速发展的原因，排除C项；德国是君主立宪制，排除D项。故选B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1917年3月中旬，加米涅夫和斯大林连续发表文章，主张只要临时政府不直接危及群众利益，就应给予支持；要求放弃无条件反对战争的立场，改行对临时政府施加压力以迫其开始和谈的策略。这个主张得到了党内大多数人的支持。这表明当时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临时政府反对继续进行帝国主义战争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沙皇残余势力仍对革命存在严重威胁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布尔什维克党对革命形势认识尚不明晰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国际局势不利于俄国革命持续深入发展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依据材料可知，此时俄布部分领导人对临时政府的认识还不深刻，有一定的妥协成分，对革命形势尚未明晰，对此，列宁发表了《四月提纲》，明确提出从资产阶级革命过渡到社会主义革命的计划，C项正确；临时政府主张继续进行帝国主义战争，排除A项；材料未涉及沙皇残余势力，排除B项；材料未涉及国际局势的变化，排除D项。故选C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阅读材料，完成下列要求。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材料一  20世纪50年代，日本颁布“外资法”等一系列法规，加强对技术引进的管理，政府有关部门根据不同时期经济发展的需要，列出鼓励进口和限制进口的技术项目，对私人企业的技术引进加以指导，其后，日本政府逐渐放宽引进技术的管理和审查标准，企业决定引进方式和内容，并承担引进过程中的一切风险，所引进的技术主要来自欧美。1962年到1966年，在企业提出的技术引进申请中，有90.4%获得了批准。</w:t>
      </w:r>
    </w:p>
    <w:p>
      <w:pPr>
        <w:spacing w:line="360" w:lineRule="auto"/>
        <w:ind w:firstLine="420"/>
        <w:jc w:val="righ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——摘编自王永生《技术进步及其组织——日本的经验与中国的实践》等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材料二  新中国成立后即确立发展科技的方针。1956年，国家制定12年科技规划，明确提出在进行科学研究时，应该首先掌握世界现有的先进科学成就，在开展国际科学合作时应力求自力更生，在技术引进方面，50年代，由苏联援建、成套供应设备的项目共计304项；由东欧各国援建、成套供应设备的建设项目共116项、引进成套设备的同时，还重视引进科学技术、人才、资金和管理经验。1960年，苏联政府决定撤走全部在华专家，这以后，我国完全依靠自己的力量发展国防尖端科学技术。</w:t>
      </w:r>
    </w:p>
    <w:p>
      <w:pPr>
        <w:spacing w:line="360" w:lineRule="auto"/>
        <w:ind w:firstLine="420"/>
        <w:jc w:val="righ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——摘编自杨德才等《二十世纪中国科学技术史稿》等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材料三  20世纪五六十年代，中国面对着严峻的国际形势、党中央果断决定研制“两弹一星”重点突破国防尖端技术，中央确定我国国防尖端科技的发展，要坚持自力更生为主、力争外援和利用资本主义国家已有的科学成果的方针，强调把立足点放在自力更生的基础上，通过自己的科学研究和实践，培养人才，掌握技术。</w:t>
      </w:r>
    </w:p>
    <w:p>
      <w:pPr>
        <w:spacing w:line="360" w:lineRule="auto"/>
        <w:ind w:firstLine="420"/>
        <w:jc w:val="righ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——据中共中央党史研究室《中国共产党历史》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根据材料一、二，概括20世纪五六十年代中日两国技术引进的特点。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根据材料并结合所学知识，分析中日技术引进呈现不同特点的背景。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（3）</w:t>
      </w:r>
      <w:r>
        <w:rPr>
          <w:rFonts w:ascii="宋体" w:hAnsi="宋体" w:eastAsia="宋体" w:cs="宋体"/>
          <w:color w:val="000000"/>
        </w:rPr>
        <w:t>根据材料并结合所学知识，简析20世纪五六十年代中国科技发展的历史经验。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特点：日本：政府指导，私人企业主导；制定法律保障；引入标准逐渐放宽；与经济发展相适应；引入技术主要来自欧美；日本加入资本主义阵营。中国：政府主导；国际合作和自力更生相结合；引入技术主要来自以苏联为首的社会主义阵营；引入范围广泛，侧重尖端技术。 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背景：日本：国家垄断资本主义的发展；美国对日本的扶持；日本经济在二战中遭受重创。中国：社会主义制度的建立；美国对新中国的鼓励与遏制；国民经济的恢复与发展以及一五计划的推动；受到冷战的影响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（3）历史经验：科技发展要坚持自力更生和引入技术相结合；重视尖端国防科技的研发；重视科技人才的引入和培养；注重技术创新。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 （1）特点：日本：根据材料“政府有关部门根据不同时期经济发展的需要”“企业决定引进方式和内容”可知，政府指导，私人企业主导；根据材料“ 20世纪50年代，日本颁布‘外资法’等一系列法规，加强对技术引进的管理”可知，制定法律保障；根据材料“日本政府逐渐放宽引进技术的管理和审查标准”可知，引入标准逐渐放宽；根据材料“政府有关部门根据不同时期经济发展的需要，列出鼓励进口和限制进口的技术项目”可知，与经济发展相适应；根可知，据材料“所引进的技术主要来自欧美”引入技术主要来自欧美。中国：根据材料“新中国成立后即确立发展科技的方针。1956年，国家制定12年科技规划”可知，政府主导，计划发展；根据材料“明确提出在进行科学研究时，应该首先掌握世界现有的先进科学成就，在开展国际科学合作时应力求自力更生”可知，国际合作和自力更生相结合；根据材料“50年代，由苏联援建、成套供应设备的项目共计304项；由东欧各国援建、成套供应设备的建设项目共116项、引进成套设备的同时，还重视引进科学技术、人才、资金和管理经验”可知，引入技术主要来自以苏联为首的社会主义阵营、引入范围广泛，侧重尖端技术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背景：日本：根据材料时间可知，这一时期国家垄断资本主义的发展，日本政府加强了国家对经济的干预；根据所学知识可知，美国对日本的扶持；根据所学知识可知，冷战时期，日本加入了资本主义阵营；根据所学知识可知，日本经济在二战中遭受重创，因此大量引入技术。中国：根据所学知识可知，1956年，社会主义制度的建立，确立了计划经济体制；从外交环境看，这一时期美国对新中国的鼓励与遏制；从经济发展角度看，这一时期国民经济的恢复与发展以及一五计划的推动；根据所学知识可知，中国的技术引入受到冷战的影响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3）历史经验：根据材料“要坚持自力更生为主、力争外援和利用资本主义国家已有的科学成果的方针”可知，科技发展要坚持自力更生和引入技术相结合；从发展领域看，重视尖端国防科技的研发；根据材料“通过自己的科学研究和实践，培养人才，掌握技术。”可知，重视科技人才的引入和培养；根据所学知识可知，要注重技术创新；根据所学知识可知，要坚持中国共产党的领导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阅读材料，完成下列要求。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  解读史料，获得历史认识，探寻史料表象背后的意蕴，是历史学的魅力所在。下表为史书所载东汉时期几位良吏的事迹。</w:t>
      </w:r>
    </w:p>
    <w:tbl>
      <w:tblPr>
        <w:tblStyle w:val="4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60"/>
        <w:gridCol w:w="1410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姓名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任职地</w:t>
            </w:r>
          </w:p>
        </w:tc>
        <w:tc>
          <w:tcPr>
            <w:tcW w:w="7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刘陵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安成</w:t>
            </w:r>
          </w:p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（今属江西）</w:t>
            </w:r>
          </w:p>
        </w:tc>
        <w:tc>
          <w:tcPr>
            <w:tcW w:w="7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先时多虎，百姓患之，皆徙他县。陵之官，修德政，逾月，虎悉出界去，民皆还之。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法雄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南郡</w:t>
            </w:r>
          </w:p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（今属湖北）</w:t>
            </w:r>
          </w:p>
        </w:tc>
        <w:tc>
          <w:tcPr>
            <w:tcW w:w="7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（郡）多虎狼之暴，前太守赏募张捕，反为所害者甚众。雄乃移书属县曰：“凡虎狼之在山林，犹人民之居城市。古者至化之世，猛兽不扰。皆由恩信宽泽，仁及飞（禽）走（兽）……其毁坏槛阱，不得妄捕山林。”是后虎害稍息，人以获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刘平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全椒</w:t>
            </w:r>
          </w:p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（今属安徽）</w:t>
            </w:r>
          </w:p>
        </w:tc>
        <w:tc>
          <w:tcPr>
            <w:tcW w:w="7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县多虎为害，平到修政，选进儒良，黜贪残，视事三月，虎皆渡江而去。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童恢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不其</w:t>
            </w:r>
          </w:p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（今属山东）</w:t>
            </w:r>
          </w:p>
        </w:tc>
        <w:tc>
          <w:tcPr>
            <w:tcW w:w="7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民尝为虎所害，乃设槛捕之，生获二虎。恢闻而出，咒虎曰：“天生万物，唯人为贵……汝若是杀人者，当垂头服罪；自知非者，当号呼称冤。”一虎低头闭目，状如震惧，即时杀之。其一视恢鸣吼，踊跃自奋，遂令放释。吏人为之歌颂。</w:t>
            </w:r>
          </w:p>
        </w:tc>
      </w:tr>
    </w:tbl>
    <w:p>
      <w:pPr>
        <w:spacing w:line="360" w:lineRule="auto"/>
        <w:jc w:val="righ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——据《后汉书》等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阐述从上述材料中发现的历史现象，并得出一个结论。（要求：现象源自材料，结论明确，史论结合，表述清晰。）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南郡前太守采取张捕的方式处理虎患，反而让更多百姓受到伤害。刘陵为官，通过修德政，虎去民安；法雄为官，恩信宽泽，仁及飞（禽）走（兽），不妄捕山林，虎患解决；刘平为官，修德政，举儒良，虎患解决；童恢为官，以强大的德行感化老虎，虎患解决。从史书所载东汉时期几位良吏的事迹，可以发现这样一个现象：东汉时期，如果地方官吏不黜贪残，而仅是抓捕老虎，反而使得虎患危害更大，而通过德治仁及畜类，则收效甚佳，即虎患的程度取决于吏治的好坏。</w:t>
      </w:r>
      <w:r>
        <w:rPr>
          <w:color w:val="000000"/>
        </w:rPr>
        <w:br w:type="textWrapping"/>
      </w:r>
      <w:r>
        <w:rPr>
          <w:color w:val="000000"/>
        </w:rPr>
        <w:t>这说明在东汉时期，儒家思想仍是主流意识，深刻影响了官员的行为，官员们通过修德政（或仁政）来达到感化万物，治理虎患的目的，也体现儒家天然感应思想对当时社会的影响。总之，儒家思想深刻影响了东汉官吏的行为模式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本题可分别阐述刘陵、法雄、刘平、童恢等四人的为官功绩，并结合南郡前太守等失败案例，进行对比。接着从儒家“仁政”、“德政”等角度切入，结合东汉时期儒学主流价值观对士大夫的影响进行分析，最后得出儒家思想对当时官吏为官产生了重要的影响。史论结合，表述清晰即可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[历史——选修1：历史上重大改革回眸]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  商鞅变法，严惩百姓私相斗殴行为，奖励军功，授以爵位田宅，养成“民勇于公战，怯于私斗”的风气，秦国的军队几乎战无不胜，统治区域不断扩大，被当时六国人称为“虎狼之国”。荀子曾访问秦国，他认为秦国管理有效，承认秦国军队战斗力强悍：“齐之技击，不可以遇魏氏之武卒；魏氏之武卒，不可以遇秦之锐士。”但他认为按商鞅之法组建的秦国军队，“隆势诈，尚功利”，无礼义教化，“干赏蹈利”（求赏逐利），只能称之为“盗兵”，“尚功利之兵，则胜、不胜，无常”，不能与春秋时齐桓公的军队相比，更不能与商汤王、周武王那样的仁义之师相提并论。</w:t>
      </w:r>
    </w:p>
    <w:p>
      <w:pPr>
        <w:spacing w:line="360" w:lineRule="auto"/>
        <w:ind w:firstLine="420"/>
        <w:jc w:val="righ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——摘编自《荀子》等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根据材料并结合所学知识，简析荀子称商鞅变法后的秦国军队为“盗兵”的原因。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根据材料并结合所学知识，评价商鞅的军事改革。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（1）原因：商鞅变法使百姓勇于公战，军队战斗力强；秦国军队过于注重功利；秦国军队无礼义教化，不是仁义之师；秦国军队战斗是“独夫”行为，没有纪律约束。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（2）评价：</w:t>
      </w:r>
      <w:r>
        <w:rPr>
          <w:color w:val="000000"/>
        </w:rPr>
        <w:br w:type="textWrapping"/>
      </w:r>
      <w:r>
        <w:rPr>
          <w:color w:val="000000"/>
        </w:rPr>
        <w:t>积极：提高了军队战斗力，壮大了军事力量；沉重的打击了奴隶主旧贵族，促进了新兴地主阶级的崛起；促进了中央集权制度的建立；为后来秦国统一六国奠定了基础；为后世军事改革提供借鉴；一定程度上有利于秦国国内秩序的安定，保证农业和社会经济的发展。</w:t>
      </w:r>
      <w:r>
        <w:rPr>
          <w:color w:val="000000"/>
        </w:rPr>
        <w:br w:type="textWrapping"/>
      </w:r>
      <w:r>
        <w:rPr>
          <w:color w:val="000000"/>
        </w:rPr>
        <w:t>消极：尚功利、轻教化，军队的整体素质不高，不敌仁义之师，为后来秦国二世而亡埋下隐患。</w:t>
      </w:r>
      <w:r>
        <w:rPr>
          <w:color w:val="000000"/>
        </w:rPr>
        <w:br w:type="textWrapping"/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（1）原因：根据材料“商鞅变法，严惩百姓私相斗殴行为，奖励军功，授以爵位田宅，养成‘民勇于公战，怯于私斗’的风气，秦国的军队几乎战无不胜”可知商鞅变法使百姓勇于公战，军队战斗力强；根据材料“隆势诈，尚功利”可知秦国军队过于注重功利；根据材料“无礼义教化”可知秦国军队无礼义教化，不是仁义之师；根据所学知识可知秦国军队战斗是“独夫”行为，没有纪律约束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评价：根据材料和所学知识要辩证看待，主要可从军事、政治、经济、后世等角度分析，具体分析可得积极：提高了军队战斗力，壮大了军事力量；沉重的打击了奴隶主旧贵族，促进了新兴地主阶级的崛起；促进了中央集权制度的建立；为后来秦国统一六国奠定了基础；为后世军事改革提供借鉴；一定程度上有利于秦国国内秩序的安定，保证农业和社会经济的发展。消极：尚功利、轻教化，军队的整体素质不高，不敌仁义之师，为后来秦国二世而亡埋下隐患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[历史——选修3：20世纪的战争与和平]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  1955年12月，美国、英国意欲资助埃及修建阿斯旺水坝，并提出一系列附加条件，但为埃及领导人纳赛尔拒绝。次年6月，苏联提出为埃及修建阿斯旺水坝提供无附加条件的贷款。7月，在美英两国先后宣布撤销对阿斯旺水坝的援助后，纳赛尔也宣布将英、法控制的苏伊士运河公司收归国有。英国和法国对埃及这一决定反应非常强烈，决定以军事手段维护两国的利益。8月10日，苏联发表声明，支持埃及将运河国有化的决定。10月29日，英法联合以色列向埃及发动进攻，苏伊士运河战争爆发。在美国和苏联的压力下，英法两国和以色列在11月6日宣布停火。此后，法国进一步走上寻求欧洲联合的道路，英国也加快了从殖民地撤离的步伐。</w:t>
      </w:r>
    </w:p>
    <w:p>
      <w:pPr>
        <w:spacing w:line="360" w:lineRule="auto"/>
        <w:ind w:firstLine="420"/>
        <w:jc w:val="righ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——摘编自王缉思、牛军主编《缔造霸权：冷战时期的美国战略与决策》等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根据材料并结合所学知识，简析苏伊士运河战争爆发前后美国对英国的态度变化及其目的。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根据材料并结合所学知识，说明苏伊士运河战争对当时西方阵营的影响。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变化：从支持英国打压埃及到联合苏联反对并制止苏伊士战争。目的：战争爆发前：美国想要介入中东地区，增强美国对埃及的影响力；遏制苏联。战争爆发后：避免和苏联发生直接冲突；乘机拉拢埃及，与苏联争夺中间地带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（2）影响：进一步打击了英法在中东地区的影响力；加速了西方阵营的内部分裂，尤其是美国和法国；客观上推动了欧洲进一步联合；扩大了美国对中东的影响力。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【详解】（1）变化：根据材料“ 1955年12月，美国、英国意欲资助埃及修建阿斯旺水坝，并提出一系列附加条件”“在美国和苏联的压力下，英法两国和以色列在11月6日宣布停火”可知，从支持英国打压埃及到联合苏联反对并制止苏伊士战争。目的：战争爆发前：根据材料并结合所学知识可知，美国借助英国，想要介入中东地区，增强美国对埃及的影响力；埃及战略位置重要，美国想要遏制苏联。战争爆发后：苏联支持埃及，美国为了避免和苏联发生直接冲突；美国制止苏伊士运河战争，乘机拉拢埃及，与苏联争夺中间地带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影响：苏伊士运动战争中，英法被迫停火，进一步打击了英法在中东地区的影响力；根据材料“法国进一步走上寻求欧洲联合的道路，英国也加快了从殖民地撤离的步伐。”可知，加速了西方阵营的内部分裂，尤其是美国和法国、客观上推动了欧洲进一步联合；根据所学知识可知，扩大了美国对中东的影响力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[历史——选修4：中外历史人物评说]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材料  1948年11月，中共中央发出关于在新解放城市中召开各界人民代表会议的指示。1949年8月至12月，毛泽东以中央或个人名义发出多份电报，督促各地尽快召开各界人民代表会议，并报告开会情况；批复和批转不少地区关于召开各界人民代表会议的报告，推广开会经验。毛泽东在指导各地召开各界人民代表会议的实践中，提出一系列带有方针、政策性的重要指导思想：各界人民代表会议是人民代表大会的前身，是人民群众参政议政的初期组织形式；召开各界人民代表会议是一件大事，这个会议是团结各界人民的重要工具；在党的领导下，充分发扬民主，切实开好各界人民代表会议。1949年7月以后，由于党中央和毛泽东发出许多关于召开各界人民代表会议的指示，各地都迅速召开这一会议。</w:t>
      </w:r>
    </w:p>
    <w:p>
      <w:pPr>
        <w:spacing w:line="360" w:lineRule="auto"/>
        <w:ind w:firstLine="420"/>
        <w:jc w:val="righ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——摘编自《党的文献》编辑部《共和国走过的路—建国以来重要文献专题选集》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根据材料并结合所学知识，说明毛泽东高度重视各界人民代表会议的原因。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根据材料并结合所学知识，简析毛泽东督促召开各界人民代表会议的历史意义。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（1）原因：团结各界人民的重要工具；中国共产党的政党属性决定；充分发扬民主的需要；为全国人民代表大会准备条件；团结人民推翻国民党统治的需要。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（2）充分体现了“人命当家做主”的理念；体现了中共“全心全意为人民服务”的宗旨；为全国人民代表大会的召开创造了坚实的基础；团结各界人民，推翻国民党反动派，为建立新中国做准备。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详解】（1）原因：依据材料“团结各界人民的重要工具”“在党的领导下，充分发扬民主，切实开好各界人民代表会议”，得出团结各界人民的重要工具；中国共产党的政党属性决定；充分发扬民主的需要；结合所学知识可知，为全国人民代表大会准备条件；团结人民推翻国民政府的需要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历史意义：结合所学知识可知，充分体现了“人命当家做主”的理念；体现了中共“全心全意为人民服务”的宗旨；为全国人民代表大会的召开创造了坚实的基础；团结各界人民，推翻国民党反动派，为建立新中国做准备。</w:t>
      </w:r>
    </w:p>
    <w:p>
      <w:r>
        <w:rPr>
          <w:color w:val="000000"/>
        </w:rPr>
        <w:br w:type="textWrapping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NmYyNzVlYjMwOGQzZTdiZjU4YTY1NTJhZGRiZD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  <w:rsid w:val="635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11</Pages>
  <Words>9317</Words>
  <Characters>9506</Characters>
  <Lines>0</Lines>
  <Paragraphs>0</Paragraphs>
  <TotalTime>0</TotalTime>
  <ScaleCrop>false</ScaleCrop>
  <LinksUpToDate>false</LinksUpToDate>
  <CharactersWithSpaces>9686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2022-06-09T20:29:00Z</dcterms:created>
  <dc:creator>学科网试题生产平台</dc:creator>
  <dc:description>2997489553883136</dc:description>
  <cp:lastModifiedBy>AA食来运转美食店洪丽</cp:lastModifiedBy>
  <dcterms:modified xsi:type="dcterms:W3CDTF">2022-06-09T14:35:20Z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C06EC2B2837649D189502AA81C5A469A</vt:lpwstr>
  </property>
</Properties>
</file>